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734F3">
      <w:r>
        <w:rPr>
          <w:rFonts w:hint="eastAsia"/>
        </w:rPr>
        <w:t xml:space="preserve"> </w:t>
      </w:r>
    </w:p>
    <w:p w14:paraId="23011C53">
      <w:pPr>
        <w:pStyle w:val="9"/>
      </w:pPr>
      <w:r>
        <w:rPr>
          <w:rFonts w:hint="eastAsia" w:ascii="宋体" w:hAnsi="宋体"/>
          <w:color w:val="000000"/>
          <w:sz w:val="32"/>
        </w:rPr>
        <w:t xml:space="preserve"> </w:t>
      </w:r>
    </w:p>
    <w:p w14:paraId="68E84B50">
      <w:pPr>
        <w:widowControl/>
        <w:spacing w:before="1440" w:after="100" w:afterAutospacing="1"/>
        <w:jc w:val="center"/>
      </w:pPr>
      <w:r>
        <w:rPr>
          <w:rFonts w:hint="eastAsia" w:ascii="宋体" w:hAnsi="宋体" w:cs="宋体"/>
          <w:b/>
          <w:color w:val="000000"/>
          <w:kern w:val="0"/>
          <w:sz w:val="72"/>
          <w:szCs w:val="72"/>
          <w:shd w:val="clear" w:color="auto" w:fill="FFFFFF"/>
        </w:rPr>
        <w:t xml:space="preserve"> 竞争性谈判文件</w:t>
      </w:r>
    </w:p>
    <w:p w14:paraId="05E724E4">
      <w:pPr>
        <w:rPr>
          <w:rFonts w:ascii="仿宋" w:hAnsi="仿宋" w:eastAsia="仿宋"/>
          <w:sz w:val="32"/>
          <w:szCs w:val="32"/>
        </w:rPr>
      </w:pPr>
    </w:p>
    <w:p w14:paraId="501B5A29">
      <w:pPr>
        <w:rPr>
          <w:rFonts w:ascii="仿宋" w:hAnsi="仿宋" w:eastAsia="仿宋"/>
          <w:sz w:val="32"/>
          <w:szCs w:val="32"/>
        </w:rPr>
      </w:pPr>
    </w:p>
    <w:p w14:paraId="1675D88E">
      <w:pPr>
        <w:rPr>
          <w:rFonts w:ascii="仿宋" w:hAnsi="仿宋" w:eastAsia="仿宋"/>
          <w:sz w:val="32"/>
          <w:szCs w:val="32"/>
        </w:rPr>
      </w:pPr>
    </w:p>
    <w:p w14:paraId="35BC9823">
      <w:pPr>
        <w:rPr>
          <w:rFonts w:ascii="仿宋" w:hAnsi="仿宋" w:eastAsia="仿宋"/>
          <w:sz w:val="32"/>
          <w:szCs w:val="32"/>
        </w:rPr>
      </w:pPr>
    </w:p>
    <w:p w14:paraId="7382E4F3">
      <w:pPr>
        <w:rPr>
          <w:rFonts w:ascii="仿宋" w:hAnsi="仿宋" w:eastAsia="仿宋"/>
          <w:sz w:val="32"/>
          <w:szCs w:val="32"/>
        </w:rPr>
      </w:pPr>
    </w:p>
    <w:p w14:paraId="505A4C2F">
      <w:pPr>
        <w:rPr>
          <w:rFonts w:ascii="仿宋" w:hAnsi="仿宋" w:eastAsia="仿宋"/>
          <w:sz w:val="32"/>
          <w:szCs w:val="32"/>
        </w:rPr>
      </w:pPr>
    </w:p>
    <w:p w14:paraId="49636D12">
      <w:pPr>
        <w:rPr>
          <w:rFonts w:ascii="仿宋" w:hAnsi="仿宋" w:eastAsia="仿宋"/>
          <w:sz w:val="32"/>
          <w:szCs w:val="32"/>
        </w:rPr>
      </w:pPr>
    </w:p>
    <w:p w14:paraId="2F98633B">
      <w:pPr>
        <w:rPr>
          <w:rFonts w:ascii="仿宋" w:hAnsi="仿宋" w:eastAsia="仿宋"/>
          <w:sz w:val="32"/>
          <w:szCs w:val="32"/>
        </w:rPr>
      </w:pPr>
    </w:p>
    <w:p w14:paraId="791F7EF0">
      <w:pPr>
        <w:tabs>
          <w:tab w:val="left" w:pos="2127"/>
        </w:tabs>
        <w:ind w:firstLine="300" w:firstLineChars="100"/>
        <w:rPr>
          <w:rFonts w:hint="eastAsia" w:ascii="仿宋" w:hAnsi="仿宋" w:eastAsia="仿宋"/>
          <w:sz w:val="30"/>
          <w:szCs w:val="30"/>
          <w:lang w:val="en-US" w:eastAsia="zh-CN"/>
        </w:rPr>
      </w:pPr>
      <w:r>
        <w:rPr>
          <w:rFonts w:hint="eastAsia" w:ascii="仿宋" w:hAnsi="仿宋" w:eastAsia="仿宋"/>
          <w:sz w:val="30"/>
          <w:szCs w:val="30"/>
        </w:rPr>
        <w:t>项目编号：</w:t>
      </w:r>
      <w:r>
        <w:rPr>
          <w:rFonts w:hint="eastAsia" w:ascii="仿宋" w:hAnsi="仿宋" w:eastAsia="仿宋"/>
          <w:sz w:val="30"/>
          <w:szCs w:val="30"/>
          <w:highlight w:val="yellow"/>
        </w:rPr>
        <w:t>XYSGJZXYYSFW-202</w:t>
      </w:r>
      <w:r>
        <w:rPr>
          <w:rFonts w:hint="eastAsia" w:ascii="仿宋" w:hAnsi="仿宋" w:eastAsia="仿宋"/>
          <w:sz w:val="30"/>
          <w:szCs w:val="30"/>
          <w:highlight w:val="yellow"/>
          <w:lang w:val="en-US" w:eastAsia="zh-CN"/>
        </w:rPr>
        <w:t>6</w:t>
      </w:r>
    </w:p>
    <w:p w14:paraId="603A0B2F">
      <w:pPr>
        <w:tabs>
          <w:tab w:val="left" w:pos="2127"/>
        </w:tabs>
        <w:ind w:left="1798" w:leftChars="142" w:hanging="1500" w:hangingChars="500"/>
        <w:rPr>
          <w:rFonts w:ascii="仿宋" w:hAnsi="仿宋" w:eastAsia="仿宋"/>
          <w:sz w:val="30"/>
          <w:szCs w:val="30"/>
        </w:rPr>
      </w:pPr>
      <w:r>
        <w:rPr>
          <w:rFonts w:hint="eastAsia" w:ascii="仿宋" w:hAnsi="仿宋" w:eastAsia="仿宋"/>
          <w:sz w:val="30"/>
          <w:szCs w:val="30"/>
        </w:rPr>
        <w:t>项目名称：新沂市第六中学教室监控设备项目</w:t>
      </w:r>
    </w:p>
    <w:p w14:paraId="2DCA9928">
      <w:pPr>
        <w:tabs>
          <w:tab w:val="left" w:pos="2127"/>
        </w:tabs>
        <w:ind w:firstLine="300" w:firstLineChars="100"/>
        <w:rPr>
          <w:rFonts w:ascii="仿宋" w:hAnsi="仿宋" w:eastAsia="仿宋"/>
          <w:sz w:val="30"/>
          <w:szCs w:val="30"/>
        </w:rPr>
      </w:pPr>
      <w:r>
        <w:rPr>
          <w:rFonts w:hint="eastAsia" w:ascii="仿宋" w:hAnsi="仿宋" w:eastAsia="仿宋"/>
          <w:sz w:val="30"/>
          <w:szCs w:val="30"/>
        </w:rPr>
        <w:t>采购单位：新沂市第六中学</w:t>
      </w:r>
    </w:p>
    <w:p w14:paraId="0018DAF8">
      <w:pPr>
        <w:tabs>
          <w:tab w:val="left" w:pos="2127"/>
        </w:tabs>
        <w:ind w:firstLine="300" w:firstLineChars="100"/>
        <w:rPr>
          <w:rFonts w:ascii="仿宋" w:hAnsi="仿宋" w:eastAsia="仿宋"/>
          <w:sz w:val="30"/>
          <w:szCs w:val="30"/>
        </w:rPr>
      </w:pPr>
      <w:r>
        <w:rPr>
          <w:rFonts w:hint="eastAsia" w:ascii="仿宋" w:hAnsi="仿宋" w:eastAsia="仿宋"/>
          <w:sz w:val="30"/>
          <w:szCs w:val="30"/>
        </w:rPr>
        <w:t>代理机构：江苏中兴迅达工程管理咨询有限公司</w:t>
      </w:r>
    </w:p>
    <w:p w14:paraId="3376728B">
      <w:pPr>
        <w:tabs>
          <w:tab w:val="left" w:pos="2127"/>
        </w:tabs>
        <w:ind w:firstLine="300" w:firstLineChars="100"/>
        <w:rPr>
          <w:rFonts w:ascii="仿宋" w:hAnsi="仿宋" w:eastAsia="仿宋"/>
          <w:sz w:val="30"/>
          <w:szCs w:val="30"/>
        </w:rPr>
      </w:pPr>
      <w:r>
        <w:rPr>
          <w:rFonts w:hint="eastAsia" w:ascii="仿宋" w:hAnsi="仿宋" w:eastAsia="仿宋"/>
          <w:sz w:val="30"/>
          <w:szCs w:val="30"/>
        </w:rPr>
        <w:t>编制时间：202</w:t>
      </w:r>
      <w:r>
        <w:rPr>
          <w:rFonts w:ascii="仿宋" w:hAnsi="仿宋" w:eastAsia="仿宋"/>
          <w:sz w:val="30"/>
          <w:szCs w:val="30"/>
        </w:rPr>
        <w:t>6</w:t>
      </w:r>
      <w:r>
        <w:rPr>
          <w:rFonts w:hint="eastAsia" w:ascii="仿宋" w:hAnsi="仿宋" w:eastAsia="仿宋"/>
          <w:sz w:val="30"/>
          <w:szCs w:val="30"/>
        </w:rPr>
        <w:t>年</w:t>
      </w:r>
      <w:r>
        <w:rPr>
          <w:rFonts w:ascii="仿宋" w:hAnsi="仿宋" w:eastAsia="仿宋"/>
          <w:sz w:val="30"/>
          <w:szCs w:val="30"/>
        </w:rPr>
        <w:t>8</w:t>
      </w:r>
      <w:r>
        <w:rPr>
          <w:rFonts w:hint="eastAsia" w:ascii="仿宋" w:hAnsi="仿宋" w:eastAsia="仿宋"/>
          <w:sz w:val="30"/>
          <w:szCs w:val="30"/>
        </w:rPr>
        <w:t>月</w:t>
      </w:r>
    </w:p>
    <w:p w14:paraId="26B9CBFA">
      <w:pPr>
        <w:rPr>
          <w:rFonts w:ascii="仿宋" w:hAnsi="仿宋" w:eastAsia="仿宋"/>
          <w:sz w:val="32"/>
          <w:szCs w:val="32"/>
        </w:rPr>
      </w:pPr>
    </w:p>
    <w:p w14:paraId="2CA15415">
      <w:pPr>
        <w:widowControl/>
        <w:spacing w:before="100" w:beforeAutospacing="1" w:after="100" w:afterAutospacing="1"/>
        <w:jc w:val="center"/>
        <w:rPr>
          <w:rFonts w:ascii="楷体_GB2312" w:hAnsi="宋体" w:eastAsia="楷体_GB2312" w:cs="楷体_GB2312"/>
          <w:color w:val="000000"/>
          <w:kern w:val="0"/>
          <w:sz w:val="44"/>
          <w:szCs w:val="44"/>
          <w:shd w:val="clear" w:color="auto" w:fill="FFFFFF"/>
        </w:rPr>
      </w:pPr>
    </w:p>
    <w:p w14:paraId="186B3441">
      <w:pPr>
        <w:widowControl/>
        <w:spacing w:before="100" w:beforeAutospacing="1" w:after="100" w:afterAutospacing="1"/>
        <w:jc w:val="center"/>
      </w:pPr>
      <w:r>
        <w:rPr>
          <w:rFonts w:ascii="楷体_GB2312" w:hAnsi="宋体" w:eastAsia="楷体_GB2312" w:cs="楷体_GB2312"/>
          <w:color w:val="000000"/>
          <w:kern w:val="0"/>
          <w:sz w:val="44"/>
          <w:szCs w:val="44"/>
          <w:shd w:val="clear" w:color="auto" w:fill="FFFFFF"/>
        </w:rPr>
        <w:t>目录</w:t>
      </w:r>
    </w:p>
    <w:sdt>
      <w:sdtPr>
        <w:rPr>
          <w:rFonts w:ascii="宋体" w:hAnsi="宋体"/>
        </w:rPr>
        <w:id w:val="147477275"/>
        <w15:color w:val="DBDBDB"/>
        <w:docPartObj>
          <w:docPartGallery w:val="Table of Contents"/>
          <w:docPartUnique/>
        </w:docPartObj>
      </w:sdtPr>
      <w:sdtEndPr>
        <w:rPr>
          <w:rFonts w:ascii="宋体" w:hAnsi="宋体"/>
        </w:rPr>
      </w:sdtEndPr>
      <w:sdtContent>
        <w:p w14:paraId="2CF54050">
          <w:pPr>
            <w:jc w:val="center"/>
          </w:pPr>
        </w:p>
        <w:p w14:paraId="57D132C5">
          <w:pPr>
            <w:pStyle w:val="18"/>
            <w:tabs>
              <w:tab w:val="right" w:leader="dot" w:pos="8306"/>
            </w:tabs>
          </w:pPr>
          <w:r>
            <w:fldChar w:fldCharType="begin"/>
          </w:r>
          <w:r>
            <w:instrText xml:space="preserve">TOC \o "1-1" \h \u </w:instrText>
          </w:r>
          <w:r>
            <w:fldChar w:fldCharType="separate"/>
          </w:r>
          <w:r>
            <w:fldChar w:fldCharType="begin"/>
          </w:r>
          <w:r>
            <w:instrText xml:space="preserve"> HYPERLINK \l "_Toc30826" </w:instrText>
          </w:r>
          <w:r>
            <w:fldChar w:fldCharType="separate"/>
          </w:r>
          <w:r>
            <w:rPr>
              <w:rFonts w:cs="宋体"/>
              <w:szCs w:val="36"/>
              <w:shd w:val="clear" w:color="auto" w:fill="FFFFFF"/>
            </w:rPr>
            <w:t>第一章 谈判</w:t>
          </w:r>
          <w:r>
            <w:rPr>
              <w:rFonts w:hint="eastAsia" w:cs="宋体"/>
              <w:szCs w:val="36"/>
              <w:shd w:val="clear" w:color="auto" w:fill="FFFFFF"/>
            </w:rPr>
            <w:t>邀请</w:t>
          </w:r>
          <w:r>
            <w:tab/>
          </w:r>
          <w:r>
            <w:fldChar w:fldCharType="begin"/>
          </w:r>
          <w:r>
            <w:instrText xml:space="preserve"> PAGEREF _Toc30826 \h </w:instrText>
          </w:r>
          <w:r>
            <w:fldChar w:fldCharType="separate"/>
          </w:r>
          <w:r>
            <w:t>3</w:t>
          </w:r>
          <w:r>
            <w:fldChar w:fldCharType="end"/>
          </w:r>
          <w:r>
            <w:fldChar w:fldCharType="end"/>
          </w:r>
        </w:p>
        <w:p w14:paraId="03512294">
          <w:pPr>
            <w:pStyle w:val="18"/>
            <w:tabs>
              <w:tab w:val="right" w:leader="dot" w:pos="8306"/>
            </w:tabs>
          </w:pPr>
          <w:r>
            <w:fldChar w:fldCharType="begin"/>
          </w:r>
          <w:r>
            <w:instrText xml:space="preserve"> HYPERLINK \l "_Toc9680" </w:instrText>
          </w:r>
          <w:r>
            <w:fldChar w:fldCharType="separate"/>
          </w:r>
          <w:r>
            <w:rPr>
              <w:rFonts w:cs="宋体"/>
              <w:szCs w:val="36"/>
              <w:shd w:val="clear" w:color="auto" w:fill="FFFFFF"/>
            </w:rPr>
            <w:t>第二章 供应商须知</w:t>
          </w:r>
          <w:r>
            <w:tab/>
          </w:r>
          <w:r>
            <w:fldChar w:fldCharType="begin"/>
          </w:r>
          <w:r>
            <w:instrText xml:space="preserve"> PAGEREF _Toc9680 \h </w:instrText>
          </w:r>
          <w:r>
            <w:fldChar w:fldCharType="separate"/>
          </w:r>
          <w:r>
            <w:t>6</w:t>
          </w:r>
          <w:r>
            <w:fldChar w:fldCharType="end"/>
          </w:r>
          <w:r>
            <w:fldChar w:fldCharType="end"/>
          </w:r>
        </w:p>
        <w:p w14:paraId="5C8BFADD">
          <w:pPr>
            <w:pStyle w:val="18"/>
            <w:tabs>
              <w:tab w:val="right" w:leader="dot" w:pos="8306"/>
            </w:tabs>
          </w:pPr>
          <w:r>
            <w:fldChar w:fldCharType="begin"/>
          </w:r>
          <w:r>
            <w:instrText xml:space="preserve"> HYPERLINK \l "_Toc28395" </w:instrText>
          </w:r>
          <w:r>
            <w:fldChar w:fldCharType="separate"/>
          </w:r>
          <w:r>
            <w:rPr>
              <w:rFonts w:cs="宋体"/>
              <w:szCs w:val="36"/>
              <w:shd w:val="clear" w:color="auto" w:fill="FFFFFF"/>
            </w:rPr>
            <w:t>第三章 项目采购需求</w:t>
          </w:r>
          <w:r>
            <w:tab/>
          </w:r>
          <w:r>
            <w:fldChar w:fldCharType="begin"/>
          </w:r>
          <w:r>
            <w:instrText xml:space="preserve"> PAGEREF _Toc28395 \h </w:instrText>
          </w:r>
          <w:r>
            <w:fldChar w:fldCharType="separate"/>
          </w:r>
          <w:r>
            <w:t>18</w:t>
          </w:r>
          <w:r>
            <w:fldChar w:fldCharType="end"/>
          </w:r>
          <w:r>
            <w:fldChar w:fldCharType="end"/>
          </w:r>
        </w:p>
        <w:p w14:paraId="3FF928F8">
          <w:pPr>
            <w:pStyle w:val="18"/>
            <w:tabs>
              <w:tab w:val="right" w:leader="dot" w:pos="8306"/>
            </w:tabs>
          </w:pPr>
          <w:r>
            <w:fldChar w:fldCharType="begin"/>
          </w:r>
          <w:r>
            <w:instrText xml:space="preserve"> HYPERLINK \l "_Toc20448" </w:instrText>
          </w:r>
          <w:r>
            <w:fldChar w:fldCharType="separate"/>
          </w:r>
          <w:r>
            <w:rPr>
              <w:rFonts w:cs="宋体"/>
              <w:szCs w:val="36"/>
              <w:shd w:val="clear" w:color="auto" w:fill="FFFFFF"/>
            </w:rPr>
            <w:t>第</w:t>
          </w:r>
          <w:r>
            <w:rPr>
              <w:rFonts w:hint="eastAsia" w:cs="宋体"/>
              <w:szCs w:val="36"/>
              <w:shd w:val="clear" w:color="auto" w:fill="FFFFFF"/>
            </w:rPr>
            <w:t>四</w:t>
          </w:r>
          <w:r>
            <w:rPr>
              <w:rFonts w:cs="宋体"/>
              <w:szCs w:val="36"/>
              <w:shd w:val="clear" w:color="auto" w:fill="FFFFFF"/>
            </w:rPr>
            <w:t>章 合同草案条款</w:t>
          </w:r>
          <w:r>
            <w:tab/>
          </w:r>
          <w:r>
            <w:fldChar w:fldCharType="begin"/>
          </w:r>
          <w:r>
            <w:instrText xml:space="preserve"> PAGEREF _Toc20448 \h </w:instrText>
          </w:r>
          <w:r>
            <w:fldChar w:fldCharType="separate"/>
          </w:r>
          <w:r>
            <w:t>22</w:t>
          </w:r>
          <w:r>
            <w:fldChar w:fldCharType="end"/>
          </w:r>
          <w:r>
            <w:fldChar w:fldCharType="end"/>
          </w:r>
        </w:p>
        <w:p w14:paraId="3FDE2652">
          <w:pPr>
            <w:pStyle w:val="18"/>
            <w:tabs>
              <w:tab w:val="right" w:leader="dot" w:pos="8306"/>
            </w:tabs>
          </w:pPr>
          <w:r>
            <w:fldChar w:fldCharType="begin"/>
          </w:r>
          <w:r>
            <w:instrText xml:space="preserve"> HYPERLINK \l "_Toc10146" </w:instrText>
          </w:r>
          <w:r>
            <w:fldChar w:fldCharType="separate"/>
          </w:r>
          <w:r>
            <w:rPr>
              <w:rFonts w:hint="eastAsia" w:ascii="宋体" w:hAnsi="宋体"/>
            </w:rPr>
            <w:t>第五章 谈判响应文件的组成及格式</w:t>
          </w:r>
          <w:r>
            <w:tab/>
          </w:r>
          <w:r>
            <w:fldChar w:fldCharType="begin"/>
          </w:r>
          <w:r>
            <w:instrText xml:space="preserve"> PAGEREF _Toc10146 \h </w:instrText>
          </w:r>
          <w:r>
            <w:fldChar w:fldCharType="separate"/>
          </w:r>
          <w:r>
            <w:t>22</w:t>
          </w:r>
          <w:r>
            <w:fldChar w:fldCharType="end"/>
          </w:r>
          <w:r>
            <w:fldChar w:fldCharType="end"/>
          </w:r>
        </w:p>
        <w:p w14:paraId="16F9A27D">
          <w:pPr>
            <w:pStyle w:val="18"/>
            <w:tabs>
              <w:tab w:val="right" w:leader="dot" w:pos="8306"/>
            </w:tabs>
          </w:pPr>
        </w:p>
        <w:p w14:paraId="3B805EA1">
          <w:r>
            <w:fldChar w:fldCharType="end"/>
          </w:r>
        </w:p>
      </w:sdtContent>
    </w:sdt>
    <w:p w14:paraId="572D3848">
      <w:pPr>
        <w:widowControl/>
        <w:spacing w:before="100" w:beforeAutospacing="1" w:after="100" w:afterAutospacing="1"/>
        <w:jc w:val="center"/>
      </w:pPr>
      <w:r>
        <w:rPr>
          <w:rFonts w:ascii="楷体_GB2312" w:hAnsi="宋体" w:eastAsia="楷体_GB2312" w:cs="楷体_GB2312"/>
          <w:color w:val="000000"/>
          <w:kern w:val="0"/>
          <w:sz w:val="36"/>
          <w:szCs w:val="36"/>
          <w:shd w:val="clear" w:color="auto" w:fill="FFFFFF"/>
        </w:rPr>
        <w:t> </w:t>
      </w:r>
    </w:p>
    <w:p w14:paraId="087D89AE">
      <w:pPr>
        <w:widowControl/>
        <w:jc w:val="center"/>
        <w:rPr>
          <w:rFonts w:cs="宋体"/>
          <w:color w:val="000000"/>
          <w:sz w:val="36"/>
          <w:szCs w:val="36"/>
          <w:shd w:val="clear" w:color="auto" w:fill="FFFFFF"/>
        </w:rPr>
      </w:pPr>
      <w:bookmarkStart w:id="0" w:name="_Toc521582473"/>
    </w:p>
    <w:p w14:paraId="4DF5233B">
      <w:pPr>
        <w:widowControl/>
        <w:jc w:val="center"/>
        <w:rPr>
          <w:rFonts w:cs="宋体"/>
          <w:color w:val="000000"/>
          <w:sz w:val="36"/>
          <w:szCs w:val="36"/>
          <w:shd w:val="clear" w:color="auto" w:fill="FFFFFF"/>
        </w:rPr>
      </w:pPr>
    </w:p>
    <w:p w14:paraId="481615B6">
      <w:pPr>
        <w:widowControl/>
        <w:rPr>
          <w:rFonts w:cs="宋体"/>
          <w:color w:val="000000"/>
          <w:sz w:val="36"/>
          <w:szCs w:val="36"/>
          <w:shd w:val="clear" w:color="auto" w:fill="FFFFFF"/>
        </w:rPr>
      </w:pPr>
    </w:p>
    <w:p w14:paraId="650E43B4">
      <w:pPr>
        <w:widowControl/>
        <w:rPr>
          <w:rFonts w:cs="宋体"/>
          <w:color w:val="000000"/>
          <w:sz w:val="36"/>
          <w:szCs w:val="36"/>
          <w:shd w:val="clear" w:color="auto" w:fill="FFFFFF"/>
        </w:rPr>
      </w:pPr>
    </w:p>
    <w:p w14:paraId="31B9DBAC">
      <w:pPr>
        <w:widowControl/>
        <w:rPr>
          <w:rFonts w:cs="宋体"/>
          <w:color w:val="000000"/>
          <w:sz w:val="36"/>
          <w:szCs w:val="36"/>
          <w:shd w:val="clear" w:color="auto" w:fill="FFFFFF"/>
        </w:rPr>
      </w:pPr>
    </w:p>
    <w:p w14:paraId="545250CF"/>
    <w:p w14:paraId="736F0898"/>
    <w:p w14:paraId="4572FD87"/>
    <w:p w14:paraId="08AB4D79"/>
    <w:p w14:paraId="190C5DBF"/>
    <w:p w14:paraId="13CF6B35"/>
    <w:p w14:paraId="26656D09"/>
    <w:p w14:paraId="334A996F"/>
    <w:p w14:paraId="05083C68"/>
    <w:p w14:paraId="352615F6">
      <w:pPr>
        <w:pStyle w:val="2"/>
        <w:widowControl/>
        <w:jc w:val="center"/>
        <w:rPr>
          <w:rFonts w:cs="宋体"/>
          <w:color w:val="000000"/>
          <w:sz w:val="36"/>
          <w:szCs w:val="36"/>
          <w:shd w:val="clear" w:color="auto" w:fill="FFFFFF"/>
        </w:rPr>
        <w:sectPr>
          <w:pgSz w:w="11906" w:h="16838"/>
          <w:pgMar w:top="1440" w:right="1757" w:bottom="1440" w:left="1757" w:header="851" w:footer="992" w:gutter="0"/>
          <w:cols w:space="720" w:num="1"/>
          <w:docGrid w:type="lines" w:linePitch="312" w:charSpace="0"/>
        </w:sectPr>
      </w:pPr>
    </w:p>
    <w:p w14:paraId="613C7CFA">
      <w:pPr>
        <w:pStyle w:val="2"/>
        <w:widowControl/>
        <w:jc w:val="center"/>
      </w:pPr>
      <w:bookmarkStart w:id="1" w:name="_Toc30826"/>
      <w:r>
        <w:rPr>
          <w:rFonts w:cs="宋体"/>
          <w:color w:val="000000"/>
          <w:sz w:val="36"/>
          <w:szCs w:val="36"/>
          <w:shd w:val="clear" w:color="auto" w:fill="FFFFFF"/>
        </w:rPr>
        <w:t>第一章 谈判</w:t>
      </w:r>
      <w:bookmarkEnd w:id="0"/>
      <w:bookmarkEnd w:id="1"/>
      <w:r>
        <w:rPr>
          <w:rFonts w:hint="eastAsia" w:cs="宋体"/>
          <w:color w:val="000000"/>
          <w:sz w:val="36"/>
          <w:szCs w:val="36"/>
          <w:shd w:val="clear" w:color="auto" w:fill="FFFFFF"/>
        </w:rPr>
        <w:t>邀请</w:t>
      </w:r>
    </w:p>
    <w:p w14:paraId="741A5FFA">
      <w:pPr>
        <w:widowControl/>
        <w:snapToGrid w:val="0"/>
        <w:spacing w:line="440" w:lineRule="exact"/>
        <w:ind w:firstLine="480"/>
        <w:contextualSpacing/>
        <w:jc w:val="left"/>
        <w:rPr>
          <w:rFonts w:ascii="宋体" w:hAnsi="宋体" w:cs="宋体"/>
          <w:color w:val="000000"/>
          <w:kern w:val="0"/>
          <w:sz w:val="24"/>
        </w:rPr>
      </w:pPr>
      <w:bookmarkStart w:id="2" w:name="_Toc521582474"/>
      <w:r>
        <w:rPr>
          <w:rFonts w:hint="eastAsia" w:ascii="宋体" w:hAnsi="宋体" w:cs="宋体"/>
          <w:color w:val="000000"/>
          <w:kern w:val="0"/>
          <w:sz w:val="24"/>
        </w:rPr>
        <w:t>江苏中兴迅达工程管理咨询有限公司受新沂市第六中学的委托，就新沂市第六中学教室监控设备项目[项目编号：</w:t>
      </w:r>
      <w:r>
        <w:rPr>
          <w:rFonts w:hint="eastAsia" w:ascii="宋体" w:hAnsi="宋体" w:cs="宋体"/>
          <w:color w:val="000000"/>
          <w:kern w:val="0"/>
          <w:sz w:val="24"/>
          <w:highlight w:val="yellow"/>
        </w:rPr>
        <w:t>XYSGJZXYYSFW-202</w:t>
      </w:r>
      <w:r>
        <w:rPr>
          <w:rFonts w:hint="eastAsia" w:ascii="宋体" w:hAnsi="宋体" w:cs="宋体"/>
          <w:color w:val="000000"/>
          <w:kern w:val="0"/>
          <w:sz w:val="24"/>
          <w:highlight w:val="yellow"/>
          <w:lang w:val="en-US" w:eastAsia="zh-CN"/>
        </w:rPr>
        <w:t>6</w:t>
      </w:r>
      <w:r>
        <w:rPr>
          <w:rFonts w:hint="eastAsia" w:ascii="宋体" w:hAnsi="宋体" w:cs="宋体"/>
          <w:color w:val="000000"/>
          <w:kern w:val="0"/>
          <w:sz w:val="24"/>
        </w:rPr>
        <w:t>]实施政府采购，本次采购采用竞争性谈判方式，欢迎符合相关条件的供应商参加谈判。</w:t>
      </w:r>
    </w:p>
    <w:p w14:paraId="5AE06920">
      <w:pPr>
        <w:widowControl/>
        <w:snapToGrid w:val="0"/>
        <w:spacing w:line="440" w:lineRule="exact"/>
        <w:ind w:left="480"/>
        <w:contextualSpacing/>
        <w:jc w:val="left"/>
        <w:rPr>
          <w:rFonts w:ascii="宋体" w:hAnsi="宋体" w:cs="宋体"/>
          <w:color w:val="000000"/>
          <w:kern w:val="0"/>
          <w:sz w:val="24"/>
        </w:rPr>
      </w:pPr>
      <w:r>
        <w:rPr>
          <w:rFonts w:hint="eastAsia" w:ascii="宋体" w:hAnsi="宋体" w:cs="宋体"/>
          <w:b/>
          <w:bCs/>
          <w:color w:val="000000"/>
          <w:kern w:val="0"/>
          <w:sz w:val="24"/>
        </w:rPr>
        <w:t>一、采购项目名称及编号</w:t>
      </w:r>
    </w:p>
    <w:p w14:paraId="48E8A41E">
      <w:pPr>
        <w:widowControl/>
        <w:snapToGrid w:val="0"/>
        <w:spacing w:line="440" w:lineRule="exact"/>
        <w:ind w:left="480"/>
        <w:contextualSpacing/>
        <w:jc w:val="left"/>
        <w:rPr>
          <w:rFonts w:ascii="宋体" w:hAnsi="宋体" w:cs="宋体"/>
          <w:color w:val="000000"/>
          <w:kern w:val="0"/>
          <w:sz w:val="24"/>
        </w:rPr>
      </w:pPr>
      <w:r>
        <w:rPr>
          <w:rFonts w:hint="eastAsia" w:ascii="宋体" w:hAnsi="宋体" w:cs="宋体"/>
          <w:color w:val="000000"/>
          <w:kern w:val="0"/>
          <w:sz w:val="24"/>
        </w:rPr>
        <w:t>项目名称：新沂市第六中学教室监控设备项目</w:t>
      </w:r>
    </w:p>
    <w:p w14:paraId="21CBB00A">
      <w:pPr>
        <w:widowControl/>
        <w:snapToGrid w:val="0"/>
        <w:spacing w:line="440" w:lineRule="exact"/>
        <w:ind w:left="480"/>
        <w:contextualSpacing/>
        <w:jc w:val="left"/>
        <w:rPr>
          <w:rFonts w:hint="eastAsia" w:ascii="宋体" w:hAnsi="宋体" w:eastAsia="宋体" w:cs="宋体"/>
          <w:color w:val="000000"/>
          <w:kern w:val="0"/>
          <w:sz w:val="24"/>
          <w:lang w:val="en-US" w:eastAsia="zh-CN"/>
        </w:rPr>
      </w:pPr>
      <w:r>
        <w:rPr>
          <w:rFonts w:hint="eastAsia" w:ascii="宋体" w:hAnsi="宋体" w:cs="宋体"/>
          <w:color w:val="000000"/>
          <w:kern w:val="0"/>
          <w:sz w:val="24"/>
        </w:rPr>
        <w:t>项目编号：</w:t>
      </w:r>
      <w:r>
        <w:rPr>
          <w:rFonts w:hint="eastAsia" w:ascii="宋体" w:hAnsi="宋体" w:cs="宋体"/>
          <w:color w:val="000000"/>
          <w:kern w:val="0"/>
          <w:sz w:val="24"/>
          <w:highlight w:val="yellow"/>
        </w:rPr>
        <w:t>XYSGJZXYYSFW-202</w:t>
      </w:r>
      <w:r>
        <w:rPr>
          <w:rFonts w:hint="eastAsia" w:ascii="宋体" w:hAnsi="宋体" w:cs="宋体"/>
          <w:color w:val="000000"/>
          <w:kern w:val="0"/>
          <w:sz w:val="24"/>
          <w:highlight w:val="yellow"/>
          <w:lang w:val="en-US" w:eastAsia="zh-CN"/>
        </w:rPr>
        <w:t>6</w:t>
      </w:r>
    </w:p>
    <w:p w14:paraId="33E5601F">
      <w:pPr>
        <w:widowControl/>
        <w:snapToGrid w:val="0"/>
        <w:spacing w:line="440" w:lineRule="exact"/>
        <w:ind w:left="480"/>
        <w:contextualSpacing/>
        <w:jc w:val="left"/>
        <w:rPr>
          <w:rFonts w:ascii="宋体" w:hAnsi="宋体"/>
          <w:b/>
          <w:bCs/>
          <w:sz w:val="24"/>
        </w:rPr>
      </w:pPr>
      <w:r>
        <w:rPr>
          <w:rFonts w:hint="eastAsia" w:ascii="宋体" w:hAnsi="宋体" w:cs="宋体"/>
          <w:b/>
          <w:bCs/>
          <w:kern w:val="0"/>
          <w:sz w:val="24"/>
        </w:rPr>
        <w:t>二、采购项目</w:t>
      </w:r>
      <w:r>
        <w:rPr>
          <w:rFonts w:hint="eastAsia" w:ascii="宋体" w:hAnsi="宋体" w:cs="宋体"/>
          <w:b/>
          <w:kern w:val="0"/>
          <w:sz w:val="24"/>
        </w:rPr>
        <w:t>基本概况介绍</w:t>
      </w:r>
      <w:r>
        <w:rPr>
          <w:rFonts w:hint="eastAsia" w:ascii="宋体" w:hAnsi="宋体"/>
          <w:b/>
          <w:bCs/>
          <w:sz w:val="24"/>
        </w:rPr>
        <w:t>及预算金额</w:t>
      </w:r>
    </w:p>
    <w:p w14:paraId="01C03B4C">
      <w:pPr>
        <w:pStyle w:val="21"/>
        <w:snapToGrid w:val="0"/>
        <w:spacing w:before="0" w:beforeAutospacing="0" w:after="0" w:afterAutospacing="0" w:line="440" w:lineRule="exact"/>
        <w:ind w:firstLine="480" w:firstLineChars="200"/>
      </w:pPr>
      <w:r>
        <w:rPr>
          <w:rFonts w:hint="eastAsia"/>
        </w:rPr>
        <w:t>（一）项目基本概况介绍：</w:t>
      </w:r>
      <w:r>
        <w:rPr>
          <w:rFonts w:hint="eastAsia"/>
          <w:color w:val="000000"/>
        </w:rPr>
        <w:t>新沂市第六中学教室监控设备项目，包含教室新建监控、机房存储扩容两部分，整套系统符合校园安防国标，实现教室全覆盖、视频存储不少于60天，支持手机、电脑远程调取回放。本项目招标控制价约7万元，最终价格以中标单位签订合同价格为准。</w:t>
      </w:r>
      <w:r>
        <w:rPr>
          <w:rFonts w:hint="eastAsia"/>
        </w:rPr>
        <w:t>本项目位于</w:t>
      </w:r>
      <w:r>
        <w:rPr>
          <w:rFonts w:hint="eastAsia"/>
          <w:color w:val="000000"/>
        </w:rPr>
        <w:t>新沂市</w:t>
      </w:r>
      <w:r>
        <w:rPr>
          <w:rFonts w:hint="eastAsia"/>
        </w:rPr>
        <w:t>，具体内容采购需求。</w:t>
      </w:r>
    </w:p>
    <w:p w14:paraId="241DACA5">
      <w:pPr>
        <w:pStyle w:val="21"/>
        <w:snapToGrid w:val="0"/>
        <w:spacing w:before="0" w:beforeAutospacing="0" w:after="0" w:afterAutospacing="0" w:line="440" w:lineRule="exact"/>
        <w:ind w:firstLine="480" w:firstLineChars="200"/>
      </w:pPr>
      <w:r>
        <w:rPr>
          <w:rFonts w:hint="eastAsia"/>
        </w:rPr>
        <w:t>（二）本项目不接受超过</w:t>
      </w:r>
      <w:r>
        <w:t>7</w:t>
      </w:r>
      <w:r>
        <w:rPr>
          <w:rFonts w:hint="eastAsia"/>
        </w:rPr>
        <w:t>万（采购项目预算金额）的投标报价；</w:t>
      </w:r>
    </w:p>
    <w:p w14:paraId="01541462">
      <w:pPr>
        <w:pStyle w:val="21"/>
        <w:snapToGrid w:val="0"/>
        <w:spacing w:before="0" w:beforeAutospacing="0" w:after="0" w:afterAutospacing="0" w:line="440" w:lineRule="exact"/>
        <w:ind w:firstLine="480" w:firstLineChars="200"/>
      </w:pPr>
      <w:r>
        <w:rPr>
          <w:rFonts w:hint="eastAsia"/>
        </w:rPr>
        <w:t xml:space="preserve">（备注：投标报价包括产品价、税金、运费、安装调试、检验、保险、验收、等完成本项目的全部费用）。 </w:t>
      </w:r>
    </w:p>
    <w:p w14:paraId="48746A54">
      <w:pPr>
        <w:pStyle w:val="21"/>
        <w:snapToGrid w:val="0"/>
        <w:spacing w:before="0" w:beforeAutospacing="0" w:after="0" w:afterAutospacing="0" w:line="440" w:lineRule="exact"/>
        <w:ind w:firstLine="480" w:firstLineChars="200"/>
      </w:pPr>
      <w:r>
        <w:rPr>
          <w:rFonts w:hint="eastAsia"/>
        </w:rPr>
        <w:t>（三）签订合同后</w:t>
      </w:r>
      <w:r>
        <w:rPr>
          <w:highlight w:val="green"/>
        </w:rPr>
        <w:t>1</w:t>
      </w:r>
      <w:r>
        <w:rPr>
          <w:rFonts w:hint="eastAsia"/>
          <w:highlight w:val="green"/>
          <w:lang w:val="en-US" w:eastAsia="zh-CN"/>
        </w:rPr>
        <w:t>0</w:t>
      </w:r>
      <w:r>
        <w:rPr>
          <w:rFonts w:hint="eastAsia"/>
          <w:highlight w:val="green"/>
        </w:rPr>
        <w:t>日内</w:t>
      </w:r>
      <w:r>
        <w:rPr>
          <w:rFonts w:hint="eastAsia"/>
        </w:rPr>
        <w:t>，中标（或成交）人将货物运抵采购人指定地点并安装调试完毕。</w:t>
      </w:r>
    </w:p>
    <w:p w14:paraId="32B2AD9D">
      <w:pPr>
        <w:widowControl/>
        <w:snapToGrid w:val="0"/>
        <w:spacing w:line="440" w:lineRule="exact"/>
        <w:ind w:left="480"/>
        <w:contextualSpacing/>
        <w:jc w:val="left"/>
        <w:rPr>
          <w:rFonts w:ascii="宋体" w:hAnsi="宋体" w:cs="宋体"/>
          <w:b/>
          <w:bCs/>
          <w:color w:val="000000"/>
          <w:kern w:val="0"/>
          <w:sz w:val="24"/>
        </w:rPr>
      </w:pPr>
      <w:r>
        <w:rPr>
          <w:rFonts w:hint="eastAsia" w:ascii="宋体" w:hAnsi="宋体" w:cs="宋体"/>
          <w:b/>
          <w:bCs/>
          <w:color w:val="000000"/>
          <w:kern w:val="0"/>
          <w:sz w:val="24"/>
        </w:rPr>
        <w:t>三、采购项目需落实的政府采购政策</w:t>
      </w:r>
    </w:p>
    <w:p w14:paraId="3FE951E7">
      <w:pPr>
        <w:snapToGrid w:val="0"/>
        <w:spacing w:line="440" w:lineRule="exact"/>
        <w:ind w:left="480" w:firstLine="480" w:firstLineChars="200"/>
        <w:contextualSpacing/>
        <w:rPr>
          <w:rFonts w:ascii="宋体" w:hAnsi="宋体" w:cs="宋体"/>
          <w:kern w:val="0"/>
          <w:sz w:val="24"/>
        </w:rPr>
      </w:pPr>
      <w:r>
        <w:rPr>
          <w:rFonts w:hint="eastAsia" w:ascii="宋体" w:hAnsi="宋体" w:cs="宋体"/>
          <w:kern w:val="0"/>
          <w:sz w:val="24"/>
        </w:rPr>
        <w:t>采购项目需要落实的政府采购政策：此项目属于专门面向中小微企业采购的项目，供应商应为中小微企业、监狱企业、残疾人福利性单位。</w:t>
      </w:r>
    </w:p>
    <w:p w14:paraId="6179B4EE">
      <w:pPr>
        <w:widowControl/>
        <w:snapToGrid w:val="0"/>
        <w:spacing w:line="440" w:lineRule="exact"/>
        <w:ind w:left="480"/>
        <w:contextualSpacing/>
        <w:jc w:val="left"/>
        <w:rPr>
          <w:rFonts w:ascii="宋体" w:hAnsi="宋体" w:cs="Arial"/>
          <w:b/>
          <w:bCs/>
          <w:color w:val="000000"/>
          <w:sz w:val="24"/>
        </w:rPr>
      </w:pPr>
      <w:r>
        <w:rPr>
          <w:rFonts w:hint="eastAsia" w:ascii="宋体" w:hAnsi="宋体" w:cs="Arial"/>
          <w:b/>
          <w:bCs/>
          <w:color w:val="000000"/>
          <w:sz w:val="24"/>
        </w:rPr>
        <w:t>四、供应商资格要求</w:t>
      </w:r>
    </w:p>
    <w:p w14:paraId="3E26FCC4">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（一）基本条件：</w:t>
      </w:r>
    </w:p>
    <w:p w14:paraId="2AA4C4F6">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1、具有独立承担民事责任的能力，</w:t>
      </w:r>
      <w:r>
        <w:rPr>
          <w:rFonts w:hint="eastAsia" w:ascii="宋体" w:hAnsi="宋体" w:cs="宋体"/>
          <w:bCs/>
          <w:sz w:val="24"/>
        </w:rPr>
        <w:t>提供合法有效的营业执照</w:t>
      </w:r>
      <w:r>
        <w:rPr>
          <w:rFonts w:hint="eastAsia" w:ascii="宋体" w:hAnsi="宋体" w:cs="宋体"/>
          <w:color w:val="000000"/>
          <w:kern w:val="0"/>
          <w:sz w:val="24"/>
        </w:rPr>
        <w:t>；</w:t>
      </w:r>
    </w:p>
    <w:p w14:paraId="482432D4">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2、具有良好的商业信誉和健全的财务会计制度；</w:t>
      </w:r>
    </w:p>
    <w:p w14:paraId="77843104">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3、具有履行合同所必需的设备和专业技术能力；</w:t>
      </w:r>
    </w:p>
    <w:p w14:paraId="4AAF59A2">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4、有依法缴纳税收和社会保障资金的良好记录；</w:t>
      </w:r>
    </w:p>
    <w:p w14:paraId="40440B31">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5、参加投标活动前三年内，在经营活动中没有重大违法记录；</w:t>
      </w:r>
    </w:p>
    <w:p w14:paraId="78D10F6A">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6、法律、行政法规规定的其他条件。</w:t>
      </w:r>
    </w:p>
    <w:p w14:paraId="47645C06">
      <w:pPr>
        <w:widowControl/>
        <w:snapToGrid w:val="0"/>
        <w:spacing w:line="440" w:lineRule="exact"/>
        <w:ind w:firstLine="480"/>
        <w:contextualSpacing/>
        <w:jc w:val="left"/>
        <w:rPr>
          <w:rFonts w:ascii="宋体" w:hAnsi="宋体" w:cs="宋体"/>
          <w:kern w:val="0"/>
          <w:sz w:val="24"/>
        </w:rPr>
      </w:pPr>
      <w:r>
        <w:rPr>
          <w:rFonts w:hint="eastAsia" w:ascii="宋体" w:hAnsi="宋体" w:cs="宋体"/>
          <w:color w:val="000000"/>
          <w:kern w:val="0"/>
          <w:sz w:val="24"/>
        </w:rPr>
        <w:t>（二）其他资格条件：</w:t>
      </w:r>
      <w:r>
        <w:rPr>
          <w:rFonts w:hint="eastAsia" w:ascii="宋体" w:hAnsi="宋体" w:cs="宋体"/>
          <w:color w:val="000000"/>
          <w:kern w:val="0"/>
          <w:sz w:val="24"/>
          <w:highlight w:val="green"/>
        </w:rPr>
        <w:t>营业执照经营范围应包含安防监控设备销售、监控系统安装调试、弱电布线或系统集成等相关业务。</w:t>
      </w:r>
    </w:p>
    <w:p w14:paraId="2AE24FC2">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（三）本项目不接受联合体参与谈判。</w:t>
      </w:r>
    </w:p>
    <w:p w14:paraId="5E27103B">
      <w:pPr>
        <w:snapToGrid w:val="0"/>
        <w:spacing w:line="440" w:lineRule="exact"/>
        <w:ind w:firstLine="480"/>
        <w:rPr>
          <w:rFonts w:ascii="宋体" w:hAnsi="宋体"/>
          <w:sz w:val="24"/>
        </w:rPr>
      </w:pPr>
      <w:r>
        <w:rPr>
          <w:rFonts w:hint="eastAsia" w:ascii="宋体" w:hAnsi="宋体" w:cs="宋体"/>
          <w:color w:val="000000"/>
          <w:kern w:val="0"/>
          <w:sz w:val="24"/>
        </w:rPr>
        <w:t>（四）</w:t>
      </w:r>
      <w:r>
        <w:rPr>
          <w:rFonts w:hint="eastAsia" w:ascii="宋体" w:hAnsi="宋体"/>
          <w:sz w:val="24"/>
        </w:rPr>
        <w:t>查询及使用供应商信用记录：</w:t>
      </w:r>
    </w:p>
    <w:p w14:paraId="79902CBA">
      <w:pPr>
        <w:snapToGrid w:val="0"/>
        <w:spacing w:line="440" w:lineRule="exact"/>
        <w:ind w:firstLine="480"/>
        <w:rPr>
          <w:rFonts w:ascii="宋体" w:hAnsi="宋体" w:cs="宋体"/>
          <w:sz w:val="24"/>
        </w:rPr>
      </w:pPr>
      <w:r>
        <w:rPr>
          <w:rFonts w:hint="eastAsia" w:ascii="宋体" w:hAnsi="宋体" w:cs="宋体"/>
          <w:sz w:val="24"/>
        </w:rPr>
        <w:t>1、由采购人查询信用信息，查询渠道包括：</w:t>
      </w:r>
    </w:p>
    <w:p w14:paraId="55EA514D">
      <w:pPr>
        <w:snapToGrid w:val="0"/>
        <w:spacing w:line="440" w:lineRule="exact"/>
        <w:ind w:firstLine="480"/>
        <w:rPr>
          <w:rFonts w:ascii="宋体" w:hAnsi="宋体" w:cs="宋体"/>
          <w:sz w:val="24"/>
        </w:rPr>
      </w:pPr>
      <w:r>
        <w:rPr>
          <w:rFonts w:hint="eastAsia" w:ascii="宋体" w:hAnsi="宋体" w:cs="宋体"/>
          <w:sz w:val="24"/>
        </w:rPr>
        <w:t>（1）“信用中国”网（www.creditchina.gov.cn）；</w:t>
      </w:r>
    </w:p>
    <w:p w14:paraId="1433C995">
      <w:pPr>
        <w:snapToGrid w:val="0"/>
        <w:spacing w:line="440" w:lineRule="exact"/>
        <w:ind w:firstLine="480"/>
        <w:rPr>
          <w:rFonts w:ascii="宋体" w:hAnsi="宋体" w:cs="宋体"/>
          <w:sz w:val="24"/>
        </w:rPr>
      </w:pPr>
      <w:r>
        <w:rPr>
          <w:rFonts w:hint="eastAsia" w:ascii="宋体" w:hAnsi="宋体" w:cs="宋体"/>
          <w:sz w:val="24"/>
        </w:rPr>
        <w:t>（2）中国政府采购网（www.ccgp.gov.cn）；</w:t>
      </w:r>
    </w:p>
    <w:p w14:paraId="3235ED61">
      <w:pPr>
        <w:pStyle w:val="9"/>
        <w:spacing w:line="440" w:lineRule="exact"/>
        <w:rPr>
          <w:rFonts w:ascii="宋体" w:hAnsi="宋体" w:eastAsia="宋体" w:cs="宋体"/>
          <w:b w:val="0"/>
          <w:spacing w:val="0"/>
          <w:sz w:val="24"/>
          <w:szCs w:val="24"/>
        </w:rPr>
      </w:pPr>
      <w:r>
        <w:rPr>
          <w:rFonts w:hint="eastAsia" w:ascii="宋体" w:hAnsi="宋体" w:eastAsia="宋体" w:cs="宋体"/>
          <w:b w:val="0"/>
          <w:spacing w:val="0"/>
          <w:sz w:val="24"/>
          <w:szCs w:val="24"/>
        </w:rPr>
        <w:t xml:space="preserve">    （3）“信用江苏”网（http://credit.jiangsu.gov.cn/）；</w:t>
      </w:r>
    </w:p>
    <w:p w14:paraId="45235198">
      <w:pPr>
        <w:snapToGrid w:val="0"/>
        <w:spacing w:line="440" w:lineRule="exact"/>
        <w:ind w:firstLine="480"/>
        <w:rPr>
          <w:rFonts w:ascii="宋体" w:hAnsi="宋体" w:cs="宋体"/>
          <w:sz w:val="24"/>
        </w:rPr>
      </w:pPr>
      <w:r>
        <w:rPr>
          <w:rFonts w:hint="eastAsia" w:ascii="宋体" w:hAnsi="宋体" w:cs="宋体"/>
          <w:sz w:val="24"/>
        </w:rPr>
        <w:t xml:space="preserve">（4）“诚信徐州”网（ </w:t>
      </w:r>
      <w:r>
        <w:fldChar w:fldCharType="begin"/>
      </w:r>
      <w:r>
        <w:instrText xml:space="preserve"> HYPERLINK "http://www.xuzhoucredit.gov.cn）。" </w:instrText>
      </w:r>
      <w:r>
        <w:fldChar w:fldCharType="separate"/>
      </w:r>
      <w:r>
        <w:rPr>
          <w:rStyle w:val="33"/>
          <w:rFonts w:hint="eastAsia" w:ascii="宋体" w:hAnsi="宋体" w:cs="宋体"/>
          <w:sz w:val="24"/>
        </w:rPr>
        <w:t>http://www.xuzhoucredit.gov.cn）。</w:t>
      </w:r>
      <w:r>
        <w:rPr>
          <w:rStyle w:val="33"/>
          <w:rFonts w:hint="eastAsia" w:ascii="宋体" w:hAnsi="宋体" w:cs="宋体"/>
          <w:sz w:val="24"/>
        </w:rPr>
        <w:fldChar w:fldCharType="end"/>
      </w:r>
    </w:p>
    <w:p w14:paraId="371FE241">
      <w:pPr>
        <w:snapToGrid w:val="0"/>
        <w:spacing w:line="440" w:lineRule="exact"/>
        <w:ind w:firstLine="480"/>
        <w:rPr>
          <w:rFonts w:ascii="宋体" w:hAnsi="宋体" w:cs="宋体"/>
          <w:sz w:val="24"/>
        </w:rPr>
      </w:pPr>
      <w:r>
        <w:rPr>
          <w:rFonts w:hint="eastAsia" w:ascii="宋体" w:hAnsi="宋体" w:cs="宋体"/>
          <w:sz w:val="24"/>
        </w:rPr>
        <w:t>2、截止时点（查询环节）：评标结束前。</w:t>
      </w:r>
    </w:p>
    <w:p w14:paraId="07F8596F">
      <w:pPr>
        <w:snapToGrid w:val="0"/>
        <w:spacing w:line="440" w:lineRule="exact"/>
        <w:ind w:firstLine="480"/>
        <w:rPr>
          <w:rFonts w:ascii="宋体" w:hAnsi="宋体" w:cs="宋体"/>
          <w:sz w:val="24"/>
        </w:rPr>
      </w:pPr>
      <w:r>
        <w:rPr>
          <w:rFonts w:hint="eastAsia" w:ascii="宋体" w:hAnsi="宋体" w:cs="宋体"/>
          <w:sz w:val="24"/>
        </w:rPr>
        <w:t>3、信用信息查询记录和证据留存的具体方式：网页截屏打印，与其他采购文件一并保存。</w:t>
      </w:r>
    </w:p>
    <w:p w14:paraId="09ACF1BB">
      <w:pPr>
        <w:snapToGrid w:val="0"/>
        <w:spacing w:line="440" w:lineRule="exact"/>
        <w:ind w:firstLine="480"/>
        <w:rPr>
          <w:rFonts w:ascii="宋体" w:hAnsi="宋体" w:cs="宋体"/>
          <w:sz w:val="24"/>
        </w:rPr>
      </w:pPr>
      <w:r>
        <w:rPr>
          <w:rFonts w:hint="eastAsia" w:ascii="宋体" w:hAnsi="宋体" w:cs="宋体"/>
          <w:sz w:val="24"/>
        </w:rPr>
        <w:t>4、信用信息的使用规则：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5F6A4626">
      <w:pPr>
        <w:widowControl/>
        <w:snapToGrid w:val="0"/>
        <w:spacing w:line="440" w:lineRule="exact"/>
        <w:ind w:firstLine="480"/>
        <w:contextualSpacing/>
        <w:jc w:val="left"/>
        <w:rPr>
          <w:rFonts w:ascii="宋体" w:hAnsi="宋体" w:cs="宋体"/>
          <w:b/>
          <w:bCs/>
          <w:color w:val="000000"/>
          <w:kern w:val="0"/>
          <w:sz w:val="24"/>
        </w:rPr>
      </w:pPr>
      <w:r>
        <w:rPr>
          <w:rFonts w:hint="eastAsia" w:ascii="宋体" w:hAnsi="宋体" w:cs="宋体"/>
          <w:b/>
          <w:bCs/>
          <w:color w:val="000000"/>
          <w:kern w:val="0"/>
          <w:sz w:val="24"/>
        </w:rPr>
        <w:t>五、谈判文件发售信息</w:t>
      </w:r>
    </w:p>
    <w:p w14:paraId="2B817177">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1.本公告在</w:t>
      </w:r>
      <w:r>
        <w:rPr>
          <w:rFonts w:hint="eastAsia" w:ascii="宋体" w:hAnsi="宋体" w:cs="宋体"/>
          <w:color w:val="0000FF"/>
          <w:kern w:val="0"/>
          <w:sz w:val="24"/>
        </w:rPr>
        <w:t>江苏招标采购服务平台(www.jszbcg.com)、中国招标投标公共服务平台（http://www.cebpubservice.com/）</w:t>
      </w:r>
      <w:r>
        <w:rPr>
          <w:rFonts w:hint="eastAsia" w:ascii="宋体" w:hAnsi="宋体" w:cs="宋体"/>
          <w:color w:val="000000"/>
          <w:kern w:val="0"/>
          <w:sz w:val="24"/>
        </w:rPr>
        <w:t>上同时发布，敬请留意，其他媒体转载无效。</w:t>
      </w:r>
    </w:p>
    <w:p w14:paraId="317EE2FD">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获取谈判文件的时间期限：</w:t>
      </w:r>
      <w:r>
        <w:rPr>
          <w:rFonts w:hint="eastAsia" w:ascii="宋体" w:hAnsi="宋体" w:cs="宋体"/>
          <w:color w:val="000000"/>
          <w:kern w:val="0"/>
          <w:sz w:val="24"/>
          <w:highlight w:val="yellow"/>
        </w:rPr>
        <w:t>2026年8月1</w:t>
      </w:r>
      <w:r>
        <w:rPr>
          <w:rFonts w:hint="eastAsia" w:ascii="宋体" w:hAnsi="宋体" w:cs="宋体"/>
          <w:color w:val="000000"/>
          <w:kern w:val="0"/>
          <w:sz w:val="24"/>
          <w:highlight w:val="yellow"/>
          <w:lang w:val="en-US" w:eastAsia="zh-CN"/>
        </w:rPr>
        <w:t>7</w:t>
      </w:r>
      <w:r>
        <w:rPr>
          <w:rFonts w:hint="eastAsia" w:ascii="宋体" w:hAnsi="宋体" w:cs="宋体"/>
          <w:color w:val="000000"/>
          <w:kern w:val="0"/>
          <w:sz w:val="24"/>
          <w:highlight w:val="yellow"/>
        </w:rPr>
        <w:t xml:space="preserve">日至2026年8月 </w:t>
      </w:r>
      <w:r>
        <w:rPr>
          <w:rFonts w:hint="eastAsia" w:ascii="宋体" w:hAnsi="宋体" w:cs="宋体"/>
          <w:color w:val="000000"/>
          <w:kern w:val="0"/>
          <w:sz w:val="24"/>
          <w:highlight w:val="yellow"/>
          <w:lang w:val="en-US" w:eastAsia="zh-CN"/>
        </w:rPr>
        <w:t>20</w:t>
      </w:r>
      <w:r>
        <w:rPr>
          <w:rFonts w:hint="eastAsia" w:ascii="宋体" w:hAnsi="宋体" w:cs="宋体"/>
          <w:color w:val="000000"/>
          <w:kern w:val="0"/>
          <w:sz w:val="24"/>
          <w:highlight w:val="yellow"/>
        </w:rPr>
        <w:t>日，周一至周</w:t>
      </w:r>
      <w:r>
        <w:rPr>
          <w:rFonts w:hint="eastAsia" w:ascii="宋体" w:hAnsi="宋体" w:cs="宋体"/>
          <w:color w:val="000000"/>
          <w:kern w:val="0"/>
          <w:sz w:val="24"/>
          <w:highlight w:val="yellow"/>
          <w:lang w:val="en-US" w:eastAsia="zh-CN"/>
        </w:rPr>
        <w:t>四</w:t>
      </w:r>
      <w:r>
        <w:rPr>
          <w:rFonts w:hint="eastAsia" w:ascii="宋体" w:hAnsi="宋体" w:cs="宋体"/>
          <w:color w:val="000000"/>
          <w:kern w:val="0"/>
          <w:sz w:val="24"/>
          <w:highlight w:val="yellow"/>
        </w:rPr>
        <w:t>上午9:00至11:30，下午14:00至17:30（北京时间，法定节假日除外）。</w:t>
      </w:r>
    </w:p>
    <w:p w14:paraId="2BD0D755">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2.谈判文件获取方式：凡有意参加投标并符合上述资格要求的潜在供应商，请将营业执照复印件、授权委托书(注明联系方式、电子邮箱)、身份证复印件等以上资料加盖公章电子文档发送至邮箱1730732244@qq.com。或由授权委托人持上述材料加盖公章后至现场获取纸质招标文件。</w:t>
      </w:r>
    </w:p>
    <w:p w14:paraId="74FE01CD">
      <w:pPr>
        <w:widowControl/>
        <w:snapToGrid w:val="0"/>
        <w:spacing w:line="440" w:lineRule="exact"/>
        <w:ind w:firstLine="480"/>
        <w:contextualSpacing/>
        <w:jc w:val="left"/>
        <w:rPr>
          <w:rFonts w:ascii="宋体" w:hAns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、谈判保证金的缴纳与退还：</w:t>
      </w:r>
    </w:p>
    <w:p w14:paraId="2C214261">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（1）按照苏政发﹝2017﹞151号文件规定，本工程谈判保证金的缴纳方式采用银行电汇（必须从投标申请人法人基本存款账户汇出）形式。</w:t>
      </w:r>
    </w:p>
    <w:p w14:paraId="3756AD9F">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（2）投标人采用银行电汇缴纳谈判保证金时，在递交投标文件截止时间前，必须确保谈判保证金电汇至专用账户，方可参与本工程投标。</w:t>
      </w:r>
    </w:p>
    <w:p w14:paraId="355DF127">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 xml:space="preserve">（3）本工程谈判保证金金额 </w:t>
      </w:r>
      <w:r>
        <w:rPr>
          <w:rFonts w:hint="eastAsia" w:ascii="宋体" w:hAnsi="宋体" w:cs="宋体"/>
          <w:color w:val="000000"/>
          <w:kern w:val="0"/>
          <w:sz w:val="24"/>
          <w:highlight w:val="green"/>
        </w:rPr>
        <w:t>壹仟元整（¥：</w:t>
      </w:r>
      <w:r>
        <w:rPr>
          <w:rFonts w:ascii="宋体" w:hAnsi="宋体" w:cs="宋体"/>
          <w:color w:val="000000"/>
          <w:kern w:val="0"/>
          <w:sz w:val="24"/>
          <w:highlight w:val="green"/>
        </w:rPr>
        <w:t>1</w:t>
      </w:r>
      <w:r>
        <w:rPr>
          <w:rFonts w:hint="eastAsia" w:ascii="宋体" w:hAnsi="宋体" w:cs="宋体"/>
          <w:color w:val="000000"/>
          <w:kern w:val="0"/>
          <w:sz w:val="24"/>
          <w:highlight w:val="green"/>
        </w:rPr>
        <w:t>000.00元）</w:t>
      </w:r>
    </w:p>
    <w:p w14:paraId="7D6BD7C2">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开户行：江苏新沂农村商业银行股份有限公司营业部</w:t>
      </w:r>
    </w:p>
    <w:p w14:paraId="2D94A756">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  账户号：3203810011010000255763</w:t>
      </w:r>
    </w:p>
    <w:p w14:paraId="5BA905BE">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  开户名：江苏中兴迅达工程管理咨询有限公司新沂分公司</w:t>
      </w:r>
    </w:p>
    <w:p w14:paraId="2FCE1D50">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（4）任何以个人或非投标申请人法人单位的名义提交的谈判保证金都将被拒绝接收。</w:t>
      </w:r>
    </w:p>
    <w:p w14:paraId="1788C3E5">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（5）无论任何理由，谈判保证金未及时缴纳的均视为资格审查不合格。</w:t>
      </w:r>
    </w:p>
    <w:p w14:paraId="245C436A">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（6）评审不合格单位的谈判保证金由江苏中兴迅达工程管理咨询有限公司新沂分公司退还其基本存款账户（无息）。</w:t>
      </w:r>
    </w:p>
    <w:p w14:paraId="2997A3D3">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（7）未中标人的谈判保证金在公示期三日后，以转账方式退还至其基本存款账户；中标人的谈判保证金在施工合同签订后第二个工作日起，以转账方式退还至其基本存款账户。</w:t>
      </w:r>
    </w:p>
    <w:p w14:paraId="3D4B6AB7">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注：谈判文件免费。</w:t>
      </w:r>
    </w:p>
    <w:p w14:paraId="5CFE0A0C">
      <w:pPr>
        <w:widowControl/>
        <w:numPr>
          <w:ilvl w:val="0"/>
          <w:numId w:val="1"/>
        </w:numPr>
        <w:snapToGrid w:val="0"/>
        <w:spacing w:line="440" w:lineRule="exact"/>
        <w:ind w:firstLine="470" w:firstLineChars="195"/>
        <w:contextualSpacing/>
        <w:jc w:val="left"/>
        <w:rPr>
          <w:rFonts w:ascii="宋体" w:hAnsi="宋体" w:cs="宋体"/>
          <w:b/>
          <w:bCs/>
          <w:color w:val="000000"/>
          <w:kern w:val="0"/>
          <w:sz w:val="24"/>
        </w:rPr>
      </w:pPr>
      <w:r>
        <w:rPr>
          <w:rFonts w:hint="eastAsia" w:ascii="宋体" w:hAnsi="宋体" w:cs="宋体"/>
          <w:b/>
          <w:bCs/>
          <w:color w:val="000000"/>
          <w:kern w:val="0"/>
          <w:sz w:val="24"/>
        </w:rPr>
        <w:t>谈判响应文件接收信息</w:t>
      </w:r>
    </w:p>
    <w:p w14:paraId="5692C6D9">
      <w:pPr>
        <w:widowControl/>
        <w:snapToGrid w:val="0"/>
        <w:spacing w:line="440" w:lineRule="exact"/>
        <w:ind w:firstLine="480"/>
        <w:contextualSpacing/>
        <w:jc w:val="left"/>
        <w:rPr>
          <w:rFonts w:hint="default" w:ascii="宋体" w:hAnsi="宋体" w:cs="宋体"/>
          <w:kern w:val="0"/>
          <w:sz w:val="24"/>
          <w:lang w:val="en-US"/>
        </w:rPr>
      </w:pPr>
      <w:r>
        <w:rPr>
          <w:rFonts w:hint="eastAsia" w:ascii="宋体" w:hAnsi="宋体" w:cs="宋体"/>
          <w:color w:val="000000"/>
          <w:kern w:val="0"/>
          <w:sz w:val="24"/>
        </w:rPr>
        <w:t>响应文件接收时间：</w:t>
      </w:r>
      <w:r>
        <w:rPr>
          <w:rFonts w:hint="eastAsia" w:ascii="宋体" w:hAnsi="宋体" w:cs="宋体"/>
          <w:kern w:val="0"/>
          <w:sz w:val="24"/>
          <w:highlight w:val="yellow"/>
        </w:rPr>
        <w:t>202</w:t>
      </w:r>
      <w:r>
        <w:rPr>
          <w:rFonts w:hint="eastAsia" w:ascii="宋体" w:hAnsi="宋体" w:cs="宋体"/>
          <w:kern w:val="0"/>
          <w:sz w:val="24"/>
          <w:highlight w:val="yellow"/>
          <w:lang w:val="en-US" w:eastAsia="zh-CN"/>
        </w:rPr>
        <w:t>6</w:t>
      </w:r>
      <w:r>
        <w:rPr>
          <w:rFonts w:hint="eastAsia" w:ascii="宋体" w:hAnsi="宋体" w:cs="宋体"/>
          <w:kern w:val="0"/>
          <w:sz w:val="24"/>
          <w:highlight w:val="yellow"/>
        </w:rPr>
        <w:t>年</w:t>
      </w:r>
      <w:r>
        <w:rPr>
          <w:rFonts w:hint="eastAsia" w:ascii="宋体" w:hAnsi="宋体" w:cs="宋体"/>
          <w:kern w:val="0"/>
          <w:sz w:val="24"/>
          <w:highlight w:val="yellow"/>
          <w:lang w:val="en-US" w:eastAsia="zh-CN"/>
        </w:rPr>
        <w:t>8</w:t>
      </w:r>
      <w:r>
        <w:rPr>
          <w:rFonts w:hint="eastAsia" w:ascii="宋体" w:hAnsi="宋体" w:cs="宋体"/>
          <w:kern w:val="0"/>
          <w:sz w:val="24"/>
          <w:highlight w:val="yellow"/>
        </w:rPr>
        <w:t>月</w:t>
      </w:r>
      <w:r>
        <w:rPr>
          <w:rFonts w:hint="eastAsia" w:ascii="宋体" w:hAnsi="宋体" w:cs="宋体"/>
          <w:kern w:val="0"/>
          <w:sz w:val="24"/>
          <w:highlight w:val="yellow"/>
          <w:lang w:val="en-US" w:eastAsia="zh-CN"/>
        </w:rPr>
        <w:t>20</w:t>
      </w:r>
      <w:r>
        <w:rPr>
          <w:rFonts w:hint="eastAsia" w:ascii="宋体" w:hAnsi="宋体" w:cs="宋体"/>
          <w:kern w:val="0"/>
          <w:sz w:val="24"/>
          <w:highlight w:val="yellow"/>
        </w:rPr>
        <w:t xml:space="preserve">日 </w:t>
      </w:r>
      <w:r>
        <w:rPr>
          <w:rFonts w:hint="eastAsia" w:ascii="宋体" w:hAnsi="宋体" w:cs="宋体"/>
          <w:kern w:val="0"/>
          <w:sz w:val="24"/>
          <w:highlight w:val="yellow"/>
          <w:lang w:val="en-US" w:eastAsia="zh-CN"/>
        </w:rPr>
        <w:t>14：00</w:t>
      </w:r>
    </w:p>
    <w:p w14:paraId="682A344A">
      <w:pPr>
        <w:widowControl/>
        <w:snapToGrid w:val="0"/>
        <w:spacing w:line="440" w:lineRule="exact"/>
        <w:ind w:firstLine="480"/>
        <w:contextualSpacing/>
        <w:jc w:val="left"/>
        <w:rPr>
          <w:rFonts w:ascii="宋体" w:hAnsi="宋体" w:cs="宋体"/>
          <w:kern w:val="0"/>
          <w:sz w:val="24"/>
        </w:rPr>
      </w:pPr>
      <w:r>
        <w:rPr>
          <w:rFonts w:hint="eastAsia" w:ascii="宋体" w:hAnsi="宋体" w:cs="宋体"/>
          <w:kern w:val="0"/>
          <w:sz w:val="24"/>
        </w:rPr>
        <w:t>响应文件接收截止时间：</w:t>
      </w:r>
      <w:r>
        <w:rPr>
          <w:rFonts w:hint="eastAsia" w:ascii="宋体" w:hAnsi="宋体" w:cs="宋体"/>
          <w:kern w:val="0"/>
          <w:sz w:val="24"/>
          <w:highlight w:val="yellow"/>
        </w:rPr>
        <w:t>202</w:t>
      </w:r>
      <w:r>
        <w:rPr>
          <w:rFonts w:hint="eastAsia" w:ascii="宋体" w:hAnsi="宋体" w:cs="宋体"/>
          <w:kern w:val="0"/>
          <w:sz w:val="24"/>
          <w:highlight w:val="yellow"/>
          <w:lang w:val="en-US" w:eastAsia="zh-CN"/>
        </w:rPr>
        <w:t>6</w:t>
      </w:r>
      <w:r>
        <w:rPr>
          <w:rFonts w:hint="eastAsia" w:ascii="宋体" w:hAnsi="宋体" w:cs="宋体"/>
          <w:kern w:val="0"/>
          <w:sz w:val="24"/>
          <w:highlight w:val="yellow"/>
        </w:rPr>
        <w:t>年</w:t>
      </w:r>
      <w:r>
        <w:rPr>
          <w:rFonts w:hint="eastAsia" w:ascii="宋体" w:hAnsi="宋体" w:cs="宋体"/>
          <w:kern w:val="0"/>
          <w:sz w:val="24"/>
          <w:highlight w:val="yellow"/>
          <w:lang w:val="en-US" w:eastAsia="zh-CN"/>
        </w:rPr>
        <w:t>8</w:t>
      </w:r>
      <w:r>
        <w:rPr>
          <w:rFonts w:hint="eastAsia" w:ascii="宋体" w:hAnsi="宋体" w:cs="宋体"/>
          <w:kern w:val="0"/>
          <w:sz w:val="24"/>
          <w:highlight w:val="yellow"/>
        </w:rPr>
        <w:t>月</w:t>
      </w:r>
      <w:r>
        <w:rPr>
          <w:rFonts w:hint="eastAsia" w:ascii="宋体" w:hAnsi="宋体" w:cs="宋体"/>
          <w:kern w:val="0"/>
          <w:sz w:val="24"/>
          <w:highlight w:val="yellow"/>
          <w:lang w:val="en-US" w:eastAsia="zh-CN"/>
        </w:rPr>
        <w:t>20</w:t>
      </w:r>
      <w:r>
        <w:rPr>
          <w:rFonts w:hint="eastAsia" w:ascii="宋体" w:hAnsi="宋体" w:cs="宋体"/>
          <w:kern w:val="0"/>
          <w:sz w:val="24"/>
          <w:highlight w:val="yellow"/>
        </w:rPr>
        <w:t xml:space="preserve">日 </w:t>
      </w:r>
      <w:r>
        <w:rPr>
          <w:rFonts w:hint="eastAsia" w:ascii="宋体" w:hAnsi="宋体" w:cs="宋体"/>
          <w:kern w:val="0"/>
          <w:sz w:val="24"/>
          <w:highlight w:val="yellow"/>
          <w:lang w:val="en-US" w:eastAsia="zh-CN"/>
        </w:rPr>
        <w:t>14</w:t>
      </w:r>
      <w:r>
        <w:rPr>
          <w:rFonts w:hint="eastAsia" w:ascii="宋体" w:hAnsi="宋体" w:cs="宋体"/>
          <w:kern w:val="0"/>
          <w:sz w:val="24"/>
          <w:highlight w:val="yellow"/>
        </w:rPr>
        <w:t>:30</w:t>
      </w:r>
    </w:p>
    <w:p w14:paraId="49AB6597">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响应文件接收地点：</w:t>
      </w:r>
      <w:r>
        <w:rPr>
          <w:rFonts w:hint="eastAsia" w:ascii="宋体" w:hAnsi="宋体" w:cs="宋体"/>
          <w:sz w:val="24"/>
        </w:rPr>
        <w:t>新沂市钟吾北路19号金广厦商业楼三楼江苏中兴迅达工程管理咨询有限公司开标室</w:t>
      </w:r>
      <w:r>
        <w:rPr>
          <w:rFonts w:hint="eastAsia" w:ascii="宋体" w:hAnsi="宋体" w:cs="宋体"/>
          <w:color w:val="000000"/>
          <w:kern w:val="0"/>
          <w:sz w:val="24"/>
        </w:rPr>
        <w:t>；</w:t>
      </w:r>
    </w:p>
    <w:p w14:paraId="25FEAC13">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响应文件接收人：庄楠</w:t>
      </w:r>
    </w:p>
    <w:p w14:paraId="725269D0">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响应文件开启时间：</w:t>
      </w:r>
      <w:r>
        <w:rPr>
          <w:rFonts w:hint="eastAsia" w:ascii="宋体" w:hAnsi="宋体" w:cs="宋体"/>
          <w:kern w:val="0"/>
          <w:sz w:val="24"/>
          <w:highlight w:val="yellow"/>
        </w:rPr>
        <w:t>202</w:t>
      </w:r>
      <w:r>
        <w:rPr>
          <w:rFonts w:hint="eastAsia" w:ascii="宋体" w:hAnsi="宋体" w:cs="宋体"/>
          <w:kern w:val="0"/>
          <w:sz w:val="24"/>
          <w:highlight w:val="yellow"/>
          <w:lang w:val="en-US" w:eastAsia="zh-CN"/>
        </w:rPr>
        <w:t>6</w:t>
      </w:r>
      <w:r>
        <w:rPr>
          <w:rFonts w:hint="eastAsia" w:ascii="宋体" w:hAnsi="宋体" w:cs="宋体"/>
          <w:kern w:val="0"/>
          <w:sz w:val="24"/>
          <w:highlight w:val="yellow"/>
        </w:rPr>
        <w:t>年</w:t>
      </w:r>
      <w:r>
        <w:rPr>
          <w:rFonts w:hint="eastAsia" w:ascii="宋体" w:hAnsi="宋体" w:cs="宋体"/>
          <w:kern w:val="0"/>
          <w:sz w:val="24"/>
          <w:highlight w:val="yellow"/>
          <w:lang w:val="en-US" w:eastAsia="zh-CN"/>
        </w:rPr>
        <w:t>8</w:t>
      </w:r>
      <w:r>
        <w:rPr>
          <w:rFonts w:hint="eastAsia" w:ascii="宋体" w:hAnsi="宋体" w:cs="宋体"/>
          <w:kern w:val="0"/>
          <w:sz w:val="24"/>
          <w:highlight w:val="yellow"/>
        </w:rPr>
        <w:t>月</w:t>
      </w:r>
      <w:r>
        <w:rPr>
          <w:rFonts w:hint="eastAsia" w:ascii="宋体" w:hAnsi="宋体" w:cs="宋体"/>
          <w:kern w:val="0"/>
          <w:sz w:val="24"/>
          <w:highlight w:val="yellow"/>
          <w:lang w:val="en-US" w:eastAsia="zh-CN"/>
        </w:rPr>
        <w:t>20</w:t>
      </w:r>
      <w:r>
        <w:rPr>
          <w:rFonts w:hint="eastAsia" w:ascii="宋体" w:hAnsi="宋体" w:cs="宋体"/>
          <w:kern w:val="0"/>
          <w:sz w:val="24"/>
          <w:highlight w:val="yellow"/>
        </w:rPr>
        <w:t xml:space="preserve">日 </w:t>
      </w:r>
      <w:r>
        <w:rPr>
          <w:rFonts w:hint="eastAsia" w:ascii="宋体" w:hAnsi="宋体" w:cs="宋体"/>
          <w:kern w:val="0"/>
          <w:sz w:val="24"/>
          <w:highlight w:val="yellow"/>
          <w:lang w:val="en-US" w:eastAsia="zh-CN"/>
        </w:rPr>
        <w:t>14</w:t>
      </w:r>
      <w:r>
        <w:rPr>
          <w:rFonts w:hint="eastAsia" w:ascii="宋体" w:hAnsi="宋体" w:cs="宋体"/>
          <w:kern w:val="0"/>
          <w:sz w:val="24"/>
          <w:highlight w:val="yellow"/>
        </w:rPr>
        <w:t>:30</w:t>
      </w:r>
    </w:p>
    <w:p w14:paraId="12B1184E">
      <w:pPr>
        <w:widowControl/>
        <w:snapToGrid w:val="0"/>
        <w:spacing w:line="440" w:lineRule="exact"/>
        <w:ind w:firstLine="480"/>
        <w:contextualSpacing/>
        <w:jc w:val="left"/>
        <w:rPr>
          <w:rFonts w:ascii="宋体" w:hAnsi="宋体" w:cs="宋体"/>
          <w:color w:val="000000"/>
          <w:kern w:val="0"/>
          <w:sz w:val="24"/>
        </w:rPr>
      </w:pPr>
      <w:r>
        <w:rPr>
          <w:rFonts w:hint="eastAsia" w:ascii="宋体" w:hAnsi="宋体" w:cs="宋体"/>
          <w:color w:val="000000"/>
          <w:kern w:val="0"/>
          <w:sz w:val="24"/>
        </w:rPr>
        <w:t>响应文件开启地点：</w:t>
      </w:r>
      <w:r>
        <w:rPr>
          <w:rFonts w:hint="eastAsia" w:ascii="宋体" w:hAnsi="宋体" w:cs="宋体"/>
          <w:sz w:val="24"/>
        </w:rPr>
        <w:t>新沂市钟吾北路19号金广厦商业楼三楼江苏中兴迅达工程管理咨询有限公司开标室</w:t>
      </w:r>
      <w:r>
        <w:rPr>
          <w:rFonts w:hint="eastAsia" w:ascii="宋体" w:hAnsi="宋体" w:cs="宋体"/>
          <w:color w:val="000000"/>
          <w:kern w:val="0"/>
          <w:sz w:val="24"/>
        </w:rPr>
        <w:t>；</w:t>
      </w:r>
    </w:p>
    <w:p w14:paraId="2B391526">
      <w:pPr>
        <w:widowControl/>
        <w:snapToGrid w:val="0"/>
        <w:spacing w:line="440" w:lineRule="exact"/>
        <w:ind w:firstLine="480"/>
        <w:contextualSpacing/>
        <w:jc w:val="left"/>
        <w:rPr>
          <w:rFonts w:ascii="宋体" w:hAnsi="宋体" w:cs="宋体"/>
          <w:b/>
          <w:bCs/>
          <w:color w:val="000000"/>
          <w:kern w:val="0"/>
          <w:sz w:val="24"/>
        </w:rPr>
      </w:pPr>
      <w:r>
        <w:rPr>
          <w:rFonts w:hint="eastAsia" w:ascii="宋体" w:hAnsi="宋体" w:cs="宋体"/>
          <w:b/>
          <w:bCs/>
          <w:color w:val="000000"/>
          <w:kern w:val="0"/>
          <w:sz w:val="24"/>
        </w:rPr>
        <w:t>七、采购联系事项</w:t>
      </w:r>
    </w:p>
    <w:p w14:paraId="6DFFB743">
      <w:pPr>
        <w:snapToGrid w:val="0"/>
        <w:spacing w:line="440" w:lineRule="exact"/>
        <w:ind w:firstLine="480" w:firstLineChars="200"/>
        <w:contextualSpacing/>
        <w:rPr>
          <w:rFonts w:ascii="宋体" w:hAnsi="宋体"/>
          <w:color w:val="000000"/>
          <w:sz w:val="24"/>
        </w:rPr>
      </w:pPr>
      <w:r>
        <w:rPr>
          <w:rFonts w:hint="eastAsia" w:ascii="宋体" w:hAnsi="宋体"/>
          <w:sz w:val="24"/>
          <w:szCs w:val="21"/>
        </w:rPr>
        <w:t>代理机构名称：</w:t>
      </w:r>
      <w:r>
        <w:rPr>
          <w:rFonts w:hint="eastAsia" w:ascii="宋体" w:hAnsi="宋体" w:cs="宋体"/>
          <w:sz w:val="24"/>
        </w:rPr>
        <w:t>江苏中兴迅达工程管理咨询有限公司</w:t>
      </w:r>
    </w:p>
    <w:p w14:paraId="42D63C3C">
      <w:pPr>
        <w:snapToGrid w:val="0"/>
        <w:spacing w:line="440" w:lineRule="exact"/>
        <w:ind w:firstLine="480" w:firstLineChars="200"/>
        <w:contextualSpacing/>
        <w:rPr>
          <w:rFonts w:ascii="宋体" w:hAnsi="宋体"/>
          <w:sz w:val="24"/>
          <w:szCs w:val="21"/>
        </w:rPr>
      </w:pPr>
      <w:r>
        <w:rPr>
          <w:rFonts w:hint="eastAsia" w:ascii="宋体" w:hAnsi="宋体"/>
          <w:sz w:val="24"/>
          <w:szCs w:val="21"/>
        </w:rPr>
        <w:t xml:space="preserve">代理机构联系人：庄楠             </w:t>
      </w:r>
    </w:p>
    <w:p w14:paraId="4168B0CD">
      <w:pPr>
        <w:spacing w:line="360" w:lineRule="auto"/>
        <w:ind w:firstLine="480" w:firstLineChars="200"/>
        <w:jc w:val="left"/>
        <w:rPr>
          <w:rFonts w:ascii="宋体" w:hAnsi="宋体" w:cs="宋体"/>
          <w:sz w:val="24"/>
        </w:rPr>
      </w:pPr>
      <w:r>
        <w:rPr>
          <w:rFonts w:hint="eastAsia" w:ascii="宋体" w:hAnsi="宋体"/>
          <w:sz w:val="24"/>
          <w:szCs w:val="21"/>
        </w:rPr>
        <w:t>联系电话：</w:t>
      </w:r>
      <w:r>
        <w:rPr>
          <w:rFonts w:hint="eastAsia" w:ascii="宋体" w:hAnsi="宋体" w:cs="宋体"/>
          <w:sz w:val="24"/>
        </w:rPr>
        <w:t>0516-88993998；18921756960</w:t>
      </w:r>
    </w:p>
    <w:p w14:paraId="1EB23617">
      <w:pPr>
        <w:snapToGrid w:val="0"/>
        <w:spacing w:line="440" w:lineRule="exact"/>
        <w:ind w:firstLine="480" w:firstLineChars="200"/>
        <w:contextualSpacing/>
        <w:rPr>
          <w:rFonts w:ascii="宋体" w:hAnsi="宋体"/>
          <w:sz w:val="24"/>
        </w:rPr>
      </w:pPr>
      <w:r>
        <w:rPr>
          <w:rFonts w:hint="eastAsia" w:ascii="宋体" w:hAnsi="宋体"/>
          <w:sz w:val="24"/>
        </w:rPr>
        <w:t>联系地址：</w:t>
      </w:r>
      <w:r>
        <w:rPr>
          <w:rFonts w:hint="eastAsia" w:ascii="宋体" w:hAnsi="宋体" w:cs="宋体"/>
          <w:sz w:val="24"/>
        </w:rPr>
        <w:t>新沂市钟吾北路19号金广厦商业楼三楼江苏中兴迅达工程管理咨询有限公司代理部</w:t>
      </w:r>
    </w:p>
    <w:p w14:paraId="49849D39">
      <w:pPr>
        <w:snapToGrid w:val="0"/>
        <w:spacing w:line="440" w:lineRule="exact"/>
        <w:ind w:firstLine="480" w:firstLineChars="200"/>
        <w:contextualSpacing/>
        <w:rPr>
          <w:rFonts w:ascii="宋体" w:hAnsi="宋体"/>
          <w:sz w:val="24"/>
        </w:rPr>
      </w:pPr>
      <w:r>
        <w:rPr>
          <w:rFonts w:hint="eastAsia" w:ascii="宋体" w:hAnsi="宋体"/>
          <w:sz w:val="24"/>
        </w:rPr>
        <w:t>邮政编码：221400</w:t>
      </w:r>
    </w:p>
    <w:p w14:paraId="4274CA91">
      <w:pPr>
        <w:snapToGrid w:val="0"/>
        <w:spacing w:line="440" w:lineRule="exact"/>
        <w:ind w:firstLine="480" w:firstLineChars="200"/>
        <w:contextualSpacing/>
        <w:rPr>
          <w:rFonts w:ascii="宋体" w:hAnsi="宋体"/>
          <w:sz w:val="24"/>
          <w:szCs w:val="21"/>
        </w:rPr>
      </w:pPr>
      <w:r>
        <w:rPr>
          <w:rFonts w:hint="eastAsia" w:ascii="宋体" w:hAnsi="宋体"/>
          <w:sz w:val="24"/>
          <w:szCs w:val="21"/>
        </w:rPr>
        <w:t>采购单位名称：新沂市第六中学</w:t>
      </w:r>
    </w:p>
    <w:p w14:paraId="11158829">
      <w:pPr>
        <w:snapToGrid w:val="0"/>
        <w:spacing w:line="440" w:lineRule="exact"/>
        <w:ind w:firstLine="480" w:firstLineChars="200"/>
        <w:contextualSpacing/>
        <w:rPr>
          <w:rFonts w:ascii="宋体" w:hAnsi="宋体"/>
          <w:sz w:val="24"/>
          <w:szCs w:val="21"/>
        </w:rPr>
      </w:pPr>
      <w:r>
        <w:rPr>
          <w:rFonts w:hint="eastAsia" w:ascii="宋体" w:hAnsi="宋体"/>
          <w:sz w:val="24"/>
          <w:szCs w:val="21"/>
        </w:rPr>
        <w:t>采购单位联系人：卞海燕</w:t>
      </w:r>
      <w:r>
        <w:rPr>
          <w:rFonts w:ascii="宋体" w:hAnsi="宋体"/>
          <w:sz w:val="24"/>
          <w:szCs w:val="21"/>
        </w:rPr>
        <w:t>   </w:t>
      </w:r>
      <w:r>
        <w:rPr>
          <w:rFonts w:hint="eastAsia" w:ascii="宋体" w:hAnsi="宋体"/>
          <w:sz w:val="24"/>
          <w:szCs w:val="21"/>
        </w:rPr>
        <w:t xml:space="preserve"> </w:t>
      </w:r>
    </w:p>
    <w:p w14:paraId="457D503E">
      <w:pPr>
        <w:snapToGrid w:val="0"/>
        <w:spacing w:line="440" w:lineRule="exact"/>
        <w:ind w:firstLine="480" w:firstLineChars="200"/>
        <w:contextualSpacing/>
        <w:rPr>
          <w:rFonts w:ascii="宋体" w:hAnsi="宋体"/>
          <w:sz w:val="24"/>
          <w:szCs w:val="21"/>
        </w:rPr>
      </w:pPr>
      <w:r>
        <w:rPr>
          <w:rFonts w:hint="eastAsia" w:ascii="宋体" w:hAnsi="宋体"/>
          <w:sz w:val="24"/>
          <w:szCs w:val="21"/>
        </w:rPr>
        <w:t xml:space="preserve"> 联系电话：</w:t>
      </w:r>
      <w:r>
        <w:rPr>
          <w:rFonts w:hint="eastAsia" w:ascii="宋体" w:hAnsi="宋体"/>
          <w:b/>
          <w:sz w:val="24"/>
          <w:szCs w:val="21"/>
        </w:rPr>
        <w:t xml:space="preserve"> </w:t>
      </w:r>
      <w:r>
        <w:rPr>
          <w:rFonts w:hint="eastAsia" w:ascii="宋体" w:hAnsi="宋体"/>
          <w:sz w:val="24"/>
          <w:szCs w:val="21"/>
        </w:rPr>
        <w:t>13952285019</w:t>
      </w:r>
    </w:p>
    <w:p w14:paraId="677AE258">
      <w:pPr>
        <w:widowControl/>
        <w:snapToGrid w:val="0"/>
        <w:spacing w:line="440" w:lineRule="exact"/>
        <w:ind w:firstLine="480"/>
        <w:contextualSpacing/>
        <w:jc w:val="left"/>
        <w:rPr>
          <w:rFonts w:ascii="宋体" w:hAnsi="宋体" w:cs="宋体"/>
          <w:b/>
          <w:bCs/>
          <w:color w:val="000000"/>
          <w:kern w:val="0"/>
          <w:sz w:val="24"/>
        </w:rPr>
      </w:pPr>
      <w:r>
        <w:rPr>
          <w:rFonts w:hint="eastAsia" w:ascii="宋体" w:hAnsi="宋体" w:cs="宋体"/>
          <w:b/>
          <w:bCs/>
          <w:color w:val="000000"/>
          <w:kern w:val="0"/>
          <w:sz w:val="24"/>
        </w:rPr>
        <w:t>八、响应文件制作份数要求</w:t>
      </w:r>
    </w:p>
    <w:p w14:paraId="571A5AE7">
      <w:pPr>
        <w:adjustRightInd w:val="0"/>
        <w:snapToGrid w:val="0"/>
        <w:spacing w:line="440" w:lineRule="exact"/>
        <w:ind w:firstLine="480" w:firstLineChars="200"/>
        <w:contextualSpacing/>
        <w:rPr>
          <w:rFonts w:ascii="宋体" w:hAnsi="宋体"/>
          <w:sz w:val="24"/>
          <w:szCs w:val="21"/>
        </w:rPr>
      </w:pPr>
      <w:r>
        <w:rPr>
          <w:rFonts w:hint="eastAsia" w:ascii="宋体" w:hAnsi="宋体"/>
          <w:sz w:val="24"/>
          <w:szCs w:val="21"/>
        </w:rPr>
        <w:t>正本份数：1份   副本份数：2份</w:t>
      </w:r>
    </w:p>
    <w:p w14:paraId="4F85B9A4">
      <w:pPr>
        <w:tabs>
          <w:tab w:val="left" w:pos="900"/>
        </w:tabs>
        <w:snapToGrid w:val="0"/>
        <w:spacing w:line="440" w:lineRule="exact"/>
        <w:ind w:firstLine="479" w:firstLineChars="199"/>
        <w:contextualSpacing/>
        <w:rPr>
          <w:rFonts w:ascii="宋体" w:hAnsi="宋体"/>
          <w:b/>
          <w:bCs/>
          <w:color w:val="000000"/>
          <w:sz w:val="24"/>
        </w:rPr>
      </w:pPr>
      <w:r>
        <w:rPr>
          <w:rFonts w:hint="eastAsia" w:ascii="宋体" w:hAnsi="宋体"/>
          <w:b/>
          <w:sz w:val="24"/>
        </w:rPr>
        <w:t>九、</w:t>
      </w:r>
      <w:r>
        <w:rPr>
          <w:rFonts w:hint="eastAsia" w:ascii="宋体" w:hAnsi="宋体"/>
          <w:b/>
          <w:bCs/>
          <w:color w:val="000000"/>
          <w:sz w:val="24"/>
        </w:rPr>
        <w:t>其他说明事项</w:t>
      </w:r>
    </w:p>
    <w:p w14:paraId="5518DD75">
      <w:pPr>
        <w:spacing w:line="440" w:lineRule="exact"/>
        <w:rPr>
          <w:rFonts w:ascii="宋体" w:hAnsi="宋体" w:cs="宋体"/>
          <w:color w:val="000000"/>
          <w:kern w:val="0"/>
          <w:sz w:val="24"/>
        </w:rPr>
      </w:pPr>
      <w:r>
        <w:rPr>
          <w:rFonts w:hint="eastAsia" w:ascii="宋体" w:hAnsi="宋体" w:cs="宋体"/>
          <w:color w:val="000000"/>
          <w:kern w:val="0"/>
          <w:sz w:val="24"/>
        </w:rPr>
        <w:t>有关本次竞争性谈判的事项若存在变动或修改，敬请及时关注</w:t>
      </w:r>
      <w:r>
        <w:rPr>
          <w:rFonts w:hint="eastAsia" w:ascii="宋体" w:hAnsi="宋体" w:cs="宋体"/>
          <w:color w:val="0000FF"/>
          <w:kern w:val="0"/>
          <w:sz w:val="24"/>
        </w:rPr>
        <w:t>江苏招标采购服务平台(www.jszbcg.com)、中国招标投标公共服务平台（http://www.cebpubservice.com/）</w:t>
      </w:r>
      <w:r>
        <w:rPr>
          <w:rFonts w:hint="eastAsia" w:ascii="宋体" w:hAnsi="宋体" w:cs="宋体"/>
          <w:color w:val="000000"/>
          <w:kern w:val="0"/>
          <w:sz w:val="24"/>
        </w:rPr>
        <w:t>上发布的信息更正公告。</w:t>
      </w:r>
    </w:p>
    <w:p w14:paraId="08CEF926">
      <w:pPr>
        <w:spacing w:line="440" w:lineRule="exact"/>
        <w:jc w:val="right"/>
        <w:rPr>
          <w:rFonts w:ascii="宋体" w:hAnsi="宋体" w:cs="宋体"/>
          <w:color w:val="000000"/>
          <w:kern w:val="0"/>
          <w:sz w:val="24"/>
        </w:rPr>
      </w:pPr>
    </w:p>
    <w:p w14:paraId="6DB2581A">
      <w:pPr>
        <w:spacing w:line="440" w:lineRule="exact"/>
        <w:jc w:val="right"/>
        <w:rPr>
          <w:rFonts w:ascii="宋体" w:hAnsi="宋体" w:cs="宋体"/>
          <w:color w:val="000000"/>
          <w:kern w:val="0"/>
          <w:sz w:val="24"/>
        </w:rPr>
      </w:pPr>
    </w:p>
    <w:p w14:paraId="40D26734">
      <w:pPr>
        <w:snapToGrid w:val="0"/>
        <w:spacing w:line="440" w:lineRule="exact"/>
        <w:ind w:firstLine="480" w:firstLineChars="200"/>
        <w:contextualSpacing/>
        <w:jc w:val="right"/>
        <w:rPr>
          <w:rFonts w:ascii="宋体" w:hAnsi="宋体" w:cs="宋体"/>
          <w:sz w:val="24"/>
        </w:rPr>
      </w:pPr>
      <w:r>
        <w:rPr>
          <w:rFonts w:hint="eastAsia" w:ascii="宋体" w:hAnsi="宋体" w:cs="宋体"/>
          <w:sz w:val="24"/>
        </w:rPr>
        <w:t>江苏中兴迅达工程管理咨询有限公司</w:t>
      </w:r>
    </w:p>
    <w:p w14:paraId="273C6EBC">
      <w:pPr>
        <w:pStyle w:val="9"/>
        <w:spacing w:line="440" w:lineRule="exact"/>
        <w:jc w:val="right"/>
        <w:rPr>
          <w:rFonts w:ascii="宋体" w:hAnsi="宋体" w:eastAsia="宋体" w:cs="宋体"/>
          <w:b w:val="0"/>
          <w:color w:val="000000"/>
          <w:spacing w:val="0"/>
          <w:kern w:val="0"/>
          <w:sz w:val="24"/>
          <w:szCs w:val="24"/>
        </w:rPr>
      </w:pPr>
      <w:r>
        <w:rPr>
          <w:rFonts w:hint="eastAsia" w:ascii="宋体" w:hAnsi="宋体" w:eastAsia="宋体" w:cs="宋体"/>
          <w:b w:val="0"/>
          <w:color w:val="000000"/>
          <w:spacing w:val="0"/>
          <w:kern w:val="0"/>
          <w:sz w:val="24"/>
          <w:szCs w:val="24"/>
          <w:highlight w:val="yellow"/>
        </w:rPr>
        <w:t>202</w:t>
      </w:r>
      <w:r>
        <w:rPr>
          <w:rFonts w:ascii="宋体" w:hAnsi="宋体" w:eastAsia="宋体" w:cs="宋体"/>
          <w:b w:val="0"/>
          <w:color w:val="000000"/>
          <w:spacing w:val="0"/>
          <w:kern w:val="0"/>
          <w:sz w:val="24"/>
          <w:szCs w:val="24"/>
          <w:highlight w:val="yellow"/>
        </w:rPr>
        <w:t>6</w:t>
      </w:r>
      <w:r>
        <w:rPr>
          <w:rFonts w:hint="eastAsia" w:ascii="宋体" w:hAnsi="宋体" w:eastAsia="宋体" w:cs="宋体"/>
          <w:b w:val="0"/>
          <w:color w:val="000000"/>
          <w:spacing w:val="0"/>
          <w:kern w:val="0"/>
          <w:sz w:val="24"/>
          <w:szCs w:val="24"/>
          <w:highlight w:val="yellow"/>
        </w:rPr>
        <w:t>年</w:t>
      </w:r>
      <w:r>
        <w:rPr>
          <w:rFonts w:ascii="宋体" w:hAnsi="宋体" w:eastAsia="宋体" w:cs="宋体"/>
          <w:b w:val="0"/>
          <w:color w:val="000000"/>
          <w:spacing w:val="0"/>
          <w:kern w:val="0"/>
          <w:sz w:val="24"/>
          <w:szCs w:val="24"/>
          <w:highlight w:val="yellow"/>
        </w:rPr>
        <w:t>8</w:t>
      </w:r>
      <w:r>
        <w:rPr>
          <w:rFonts w:hint="eastAsia" w:ascii="宋体" w:hAnsi="宋体" w:eastAsia="宋体" w:cs="宋体"/>
          <w:b w:val="0"/>
          <w:color w:val="000000"/>
          <w:spacing w:val="0"/>
          <w:kern w:val="0"/>
          <w:sz w:val="24"/>
          <w:szCs w:val="24"/>
          <w:highlight w:val="yellow"/>
        </w:rPr>
        <w:t>月</w:t>
      </w:r>
      <w:r>
        <w:rPr>
          <w:rFonts w:hint="eastAsia" w:ascii="宋体" w:hAnsi="宋体" w:eastAsia="宋体" w:cs="宋体"/>
          <w:b w:val="0"/>
          <w:color w:val="000000"/>
          <w:spacing w:val="0"/>
          <w:kern w:val="0"/>
          <w:sz w:val="24"/>
          <w:szCs w:val="24"/>
          <w:highlight w:val="yellow"/>
          <w:lang w:val="en-US" w:eastAsia="zh-CN"/>
        </w:rPr>
        <w:t>17</w:t>
      </w:r>
      <w:r>
        <w:rPr>
          <w:rFonts w:hint="eastAsia" w:ascii="宋体" w:hAnsi="宋体" w:eastAsia="宋体" w:cs="宋体"/>
          <w:b w:val="0"/>
          <w:color w:val="000000"/>
          <w:spacing w:val="0"/>
          <w:kern w:val="0"/>
          <w:sz w:val="24"/>
          <w:szCs w:val="24"/>
          <w:highlight w:val="yellow"/>
        </w:rPr>
        <w:t>日</w:t>
      </w:r>
    </w:p>
    <w:p w14:paraId="2CBD2493">
      <w:pPr>
        <w:pStyle w:val="9"/>
        <w:jc w:val="right"/>
        <w:rPr>
          <w:rFonts w:ascii="宋体" w:hAnsi="宋体" w:eastAsia="宋体" w:cs="宋体"/>
          <w:b w:val="0"/>
          <w:color w:val="000000"/>
          <w:spacing w:val="0"/>
          <w:kern w:val="0"/>
          <w:sz w:val="24"/>
          <w:szCs w:val="24"/>
        </w:rPr>
      </w:pPr>
    </w:p>
    <w:p w14:paraId="329FD191">
      <w:pPr>
        <w:pStyle w:val="9"/>
        <w:jc w:val="right"/>
        <w:rPr>
          <w:rFonts w:ascii="宋体" w:hAnsi="宋体" w:eastAsia="宋体" w:cs="宋体"/>
          <w:b w:val="0"/>
          <w:color w:val="000000"/>
          <w:spacing w:val="0"/>
          <w:kern w:val="0"/>
          <w:sz w:val="24"/>
          <w:szCs w:val="24"/>
        </w:rPr>
      </w:pPr>
    </w:p>
    <w:p w14:paraId="7A9B53A2">
      <w:pPr>
        <w:pStyle w:val="9"/>
        <w:jc w:val="right"/>
        <w:rPr>
          <w:rFonts w:ascii="宋体" w:hAnsi="宋体" w:eastAsia="宋体" w:cs="宋体"/>
          <w:b w:val="0"/>
          <w:color w:val="000000"/>
          <w:spacing w:val="0"/>
          <w:kern w:val="0"/>
          <w:sz w:val="24"/>
          <w:szCs w:val="24"/>
        </w:rPr>
      </w:pPr>
    </w:p>
    <w:p w14:paraId="07FD40CD">
      <w:pPr>
        <w:pStyle w:val="9"/>
        <w:jc w:val="right"/>
        <w:rPr>
          <w:rFonts w:ascii="宋体" w:hAnsi="宋体" w:eastAsia="宋体" w:cs="宋体"/>
          <w:b w:val="0"/>
          <w:color w:val="000000"/>
          <w:spacing w:val="0"/>
          <w:kern w:val="0"/>
          <w:sz w:val="24"/>
          <w:szCs w:val="24"/>
        </w:rPr>
      </w:pPr>
    </w:p>
    <w:p w14:paraId="2885978D">
      <w:pPr>
        <w:pStyle w:val="9"/>
        <w:jc w:val="right"/>
        <w:rPr>
          <w:rFonts w:ascii="宋体" w:hAnsi="宋体" w:eastAsia="宋体" w:cs="宋体"/>
          <w:b w:val="0"/>
          <w:color w:val="000000"/>
          <w:spacing w:val="0"/>
          <w:kern w:val="0"/>
          <w:sz w:val="24"/>
          <w:szCs w:val="24"/>
        </w:rPr>
      </w:pPr>
    </w:p>
    <w:p w14:paraId="094FC8F1">
      <w:pPr>
        <w:pStyle w:val="9"/>
        <w:jc w:val="right"/>
        <w:rPr>
          <w:rFonts w:ascii="宋体" w:hAnsi="宋体" w:eastAsia="宋体" w:cs="宋体"/>
          <w:b w:val="0"/>
          <w:color w:val="000000"/>
          <w:spacing w:val="0"/>
          <w:kern w:val="0"/>
          <w:sz w:val="24"/>
          <w:szCs w:val="24"/>
        </w:rPr>
      </w:pPr>
    </w:p>
    <w:p w14:paraId="0A688B64">
      <w:pPr>
        <w:pStyle w:val="9"/>
        <w:jc w:val="right"/>
        <w:rPr>
          <w:rFonts w:ascii="宋体" w:hAnsi="宋体" w:eastAsia="宋体" w:cs="宋体"/>
          <w:b w:val="0"/>
          <w:color w:val="000000"/>
          <w:spacing w:val="0"/>
          <w:kern w:val="0"/>
          <w:sz w:val="24"/>
          <w:szCs w:val="24"/>
        </w:rPr>
      </w:pPr>
    </w:p>
    <w:p w14:paraId="6FCF215D">
      <w:pPr>
        <w:pStyle w:val="9"/>
        <w:jc w:val="right"/>
        <w:rPr>
          <w:rFonts w:ascii="宋体" w:hAnsi="宋体" w:eastAsia="宋体" w:cs="宋体"/>
          <w:b w:val="0"/>
          <w:color w:val="000000"/>
          <w:spacing w:val="0"/>
          <w:kern w:val="0"/>
          <w:sz w:val="24"/>
          <w:szCs w:val="24"/>
        </w:rPr>
      </w:pPr>
    </w:p>
    <w:p w14:paraId="7CBD0143">
      <w:pPr>
        <w:pStyle w:val="9"/>
        <w:jc w:val="right"/>
        <w:rPr>
          <w:rFonts w:ascii="宋体" w:hAnsi="宋体" w:eastAsia="宋体" w:cs="宋体"/>
          <w:b w:val="0"/>
          <w:color w:val="000000"/>
          <w:spacing w:val="0"/>
          <w:kern w:val="0"/>
          <w:sz w:val="24"/>
          <w:szCs w:val="24"/>
        </w:rPr>
      </w:pPr>
    </w:p>
    <w:p w14:paraId="5252B676">
      <w:pPr>
        <w:pStyle w:val="9"/>
        <w:jc w:val="right"/>
        <w:rPr>
          <w:rFonts w:ascii="宋体" w:hAnsi="宋体" w:eastAsia="宋体" w:cs="宋体"/>
          <w:b w:val="0"/>
          <w:color w:val="000000"/>
          <w:spacing w:val="0"/>
          <w:kern w:val="0"/>
          <w:sz w:val="24"/>
          <w:szCs w:val="24"/>
        </w:rPr>
      </w:pPr>
    </w:p>
    <w:p w14:paraId="69BE2803">
      <w:pPr>
        <w:pStyle w:val="9"/>
        <w:jc w:val="right"/>
        <w:rPr>
          <w:rFonts w:ascii="宋体" w:hAnsi="宋体" w:eastAsia="宋体" w:cs="宋体"/>
          <w:b w:val="0"/>
          <w:color w:val="000000"/>
          <w:spacing w:val="0"/>
          <w:kern w:val="0"/>
          <w:sz w:val="24"/>
          <w:szCs w:val="24"/>
        </w:rPr>
      </w:pPr>
    </w:p>
    <w:p w14:paraId="0745F74D">
      <w:pPr>
        <w:pStyle w:val="9"/>
        <w:jc w:val="right"/>
        <w:rPr>
          <w:rFonts w:ascii="宋体" w:hAnsi="宋体" w:eastAsia="宋体" w:cs="宋体"/>
          <w:b w:val="0"/>
          <w:color w:val="000000"/>
          <w:spacing w:val="0"/>
          <w:kern w:val="0"/>
          <w:sz w:val="24"/>
          <w:szCs w:val="24"/>
        </w:rPr>
      </w:pPr>
    </w:p>
    <w:p w14:paraId="6FAD4976">
      <w:pPr>
        <w:pStyle w:val="9"/>
        <w:jc w:val="right"/>
        <w:rPr>
          <w:rFonts w:ascii="宋体" w:hAnsi="宋体" w:eastAsia="宋体" w:cs="宋体"/>
          <w:b w:val="0"/>
          <w:color w:val="000000"/>
          <w:spacing w:val="0"/>
          <w:kern w:val="0"/>
          <w:sz w:val="24"/>
          <w:szCs w:val="24"/>
        </w:rPr>
      </w:pPr>
    </w:p>
    <w:p w14:paraId="1EF7D47D">
      <w:pPr>
        <w:pStyle w:val="9"/>
        <w:jc w:val="right"/>
        <w:rPr>
          <w:rFonts w:ascii="宋体" w:hAnsi="宋体" w:eastAsia="宋体" w:cs="宋体"/>
          <w:b w:val="0"/>
          <w:color w:val="000000"/>
          <w:spacing w:val="0"/>
          <w:kern w:val="0"/>
          <w:sz w:val="24"/>
          <w:szCs w:val="24"/>
        </w:rPr>
      </w:pPr>
    </w:p>
    <w:p w14:paraId="5D8A69B7">
      <w:pPr>
        <w:rPr>
          <w:rFonts w:ascii="宋体" w:hAnsi="宋体" w:cs="宋体"/>
          <w:color w:val="000000"/>
          <w:kern w:val="0"/>
          <w:sz w:val="24"/>
        </w:rPr>
      </w:pPr>
    </w:p>
    <w:p w14:paraId="473F40EC">
      <w:pPr>
        <w:rPr>
          <w:rFonts w:ascii="宋体" w:hAnsi="宋体" w:cs="宋体"/>
          <w:color w:val="000000"/>
          <w:kern w:val="0"/>
          <w:sz w:val="24"/>
        </w:rPr>
      </w:pPr>
    </w:p>
    <w:p w14:paraId="3823F753">
      <w:pPr>
        <w:rPr>
          <w:rFonts w:ascii="宋体" w:hAnsi="宋体" w:cs="宋体"/>
          <w:color w:val="000000"/>
          <w:kern w:val="0"/>
          <w:sz w:val="24"/>
        </w:rPr>
      </w:pPr>
    </w:p>
    <w:p w14:paraId="6AE80540">
      <w:pPr>
        <w:rPr>
          <w:rFonts w:ascii="宋体" w:hAnsi="宋体" w:cs="宋体"/>
          <w:color w:val="000000"/>
          <w:kern w:val="0"/>
          <w:sz w:val="24"/>
        </w:rPr>
      </w:pPr>
    </w:p>
    <w:p w14:paraId="1CEDDC4B">
      <w:pPr>
        <w:rPr>
          <w:rFonts w:ascii="宋体" w:hAnsi="宋体" w:cs="宋体"/>
          <w:color w:val="000000"/>
          <w:kern w:val="0"/>
          <w:sz w:val="24"/>
        </w:rPr>
      </w:pPr>
    </w:p>
    <w:p w14:paraId="4268E83E">
      <w:pPr>
        <w:pStyle w:val="9"/>
        <w:jc w:val="right"/>
        <w:rPr>
          <w:rFonts w:ascii="宋体" w:hAnsi="宋体" w:eastAsia="宋体" w:cs="宋体"/>
          <w:b w:val="0"/>
          <w:color w:val="000000"/>
          <w:spacing w:val="0"/>
          <w:kern w:val="0"/>
          <w:sz w:val="24"/>
          <w:szCs w:val="24"/>
        </w:rPr>
      </w:pPr>
    </w:p>
    <w:p w14:paraId="651583DA">
      <w:pPr>
        <w:pStyle w:val="9"/>
        <w:jc w:val="right"/>
        <w:rPr>
          <w:rFonts w:ascii="宋体" w:hAnsi="宋体" w:eastAsia="宋体" w:cs="宋体"/>
          <w:b w:val="0"/>
          <w:color w:val="000000"/>
          <w:spacing w:val="0"/>
          <w:kern w:val="0"/>
          <w:sz w:val="24"/>
          <w:szCs w:val="24"/>
        </w:rPr>
      </w:pPr>
    </w:p>
    <w:p w14:paraId="3A8F7247">
      <w:pPr>
        <w:pStyle w:val="9"/>
        <w:jc w:val="right"/>
        <w:rPr>
          <w:rFonts w:ascii="宋体" w:hAnsi="宋体" w:eastAsia="宋体" w:cs="宋体"/>
          <w:b w:val="0"/>
          <w:color w:val="000000"/>
          <w:spacing w:val="0"/>
          <w:kern w:val="0"/>
          <w:sz w:val="24"/>
          <w:szCs w:val="24"/>
        </w:rPr>
      </w:pPr>
    </w:p>
    <w:p w14:paraId="26F16B2F">
      <w:pPr>
        <w:pStyle w:val="9"/>
        <w:jc w:val="right"/>
        <w:rPr>
          <w:rFonts w:ascii="宋体" w:hAnsi="宋体" w:eastAsia="宋体" w:cs="宋体"/>
          <w:b w:val="0"/>
          <w:color w:val="000000"/>
          <w:spacing w:val="0"/>
          <w:kern w:val="0"/>
          <w:sz w:val="24"/>
          <w:szCs w:val="24"/>
        </w:rPr>
      </w:pPr>
    </w:p>
    <w:p w14:paraId="759A1593">
      <w:pPr>
        <w:pStyle w:val="9"/>
        <w:jc w:val="right"/>
        <w:rPr>
          <w:rFonts w:ascii="宋体" w:hAnsi="宋体" w:eastAsia="宋体" w:cs="宋体"/>
          <w:b w:val="0"/>
          <w:color w:val="000000"/>
          <w:spacing w:val="0"/>
          <w:kern w:val="0"/>
          <w:sz w:val="24"/>
          <w:szCs w:val="24"/>
        </w:rPr>
      </w:pPr>
    </w:p>
    <w:p w14:paraId="2B8566EB">
      <w:pPr>
        <w:pStyle w:val="9"/>
        <w:jc w:val="right"/>
        <w:rPr>
          <w:rFonts w:ascii="宋体" w:hAnsi="宋体" w:eastAsia="宋体" w:cs="宋体"/>
          <w:b w:val="0"/>
          <w:color w:val="000000"/>
          <w:spacing w:val="0"/>
          <w:kern w:val="0"/>
          <w:sz w:val="24"/>
          <w:szCs w:val="24"/>
        </w:rPr>
      </w:pPr>
    </w:p>
    <w:p w14:paraId="5374B77F">
      <w:pPr>
        <w:pStyle w:val="9"/>
        <w:jc w:val="right"/>
        <w:rPr>
          <w:rFonts w:ascii="宋体" w:hAnsi="宋体" w:eastAsia="宋体" w:cs="宋体"/>
          <w:b w:val="0"/>
          <w:color w:val="000000"/>
          <w:spacing w:val="0"/>
          <w:kern w:val="0"/>
          <w:sz w:val="24"/>
          <w:szCs w:val="24"/>
        </w:rPr>
      </w:pPr>
    </w:p>
    <w:p w14:paraId="76708DBE">
      <w:pPr>
        <w:pStyle w:val="9"/>
        <w:jc w:val="right"/>
        <w:rPr>
          <w:rFonts w:ascii="宋体" w:hAnsi="宋体" w:eastAsia="宋体" w:cs="宋体"/>
          <w:b w:val="0"/>
          <w:color w:val="000000"/>
          <w:spacing w:val="0"/>
          <w:kern w:val="0"/>
          <w:sz w:val="24"/>
          <w:szCs w:val="24"/>
        </w:rPr>
      </w:pPr>
    </w:p>
    <w:p w14:paraId="286327C9">
      <w:pPr>
        <w:rPr>
          <w:rFonts w:ascii="宋体" w:hAnsi="宋体" w:cs="宋体"/>
          <w:color w:val="000000"/>
          <w:kern w:val="0"/>
          <w:sz w:val="24"/>
        </w:rPr>
      </w:pPr>
    </w:p>
    <w:p w14:paraId="531F6699">
      <w:pPr>
        <w:pStyle w:val="12"/>
        <w:rPr>
          <w:rFonts w:ascii="宋体" w:hAnsi="宋体" w:cs="宋体"/>
          <w:color w:val="000000"/>
          <w:kern w:val="0"/>
        </w:rPr>
      </w:pPr>
    </w:p>
    <w:p w14:paraId="082DA3C0"/>
    <w:bookmarkEnd w:id="2"/>
    <w:p w14:paraId="31207C3E">
      <w:pPr>
        <w:pStyle w:val="2"/>
        <w:widowControl/>
        <w:jc w:val="center"/>
      </w:pPr>
      <w:bookmarkStart w:id="3" w:name="_Toc9680"/>
      <w:r>
        <w:rPr>
          <w:rFonts w:cs="宋体"/>
          <w:color w:val="000000"/>
          <w:sz w:val="36"/>
          <w:szCs w:val="36"/>
          <w:shd w:val="clear" w:color="auto" w:fill="FFFFFF"/>
        </w:rPr>
        <w:t>第二章 供应商须知</w:t>
      </w:r>
      <w:bookmarkEnd w:id="3"/>
    </w:p>
    <w:p w14:paraId="039F5BEC">
      <w:pPr>
        <w:widowControl/>
        <w:spacing w:line="400" w:lineRule="exact"/>
      </w:pPr>
      <w:r>
        <w:rPr>
          <w:rFonts w:hint="eastAsia" w:ascii="宋体" w:hAnsi="宋体" w:cs="宋体"/>
          <w:b/>
          <w:kern w:val="0"/>
          <w:sz w:val="24"/>
          <w:shd w:val="clear" w:color="auto" w:fill="FFFFFF"/>
        </w:rPr>
        <w:t>1.总则</w:t>
      </w:r>
    </w:p>
    <w:p w14:paraId="1FE064A2">
      <w:pPr>
        <w:widowControl/>
        <w:spacing w:line="400" w:lineRule="exact"/>
      </w:pPr>
      <w:r>
        <w:rPr>
          <w:rFonts w:hint="eastAsia" w:ascii="宋体" w:hAnsi="宋体" w:cs="宋体"/>
          <w:kern w:val="0"/>
          <w:sz w:val="24"/>
          <w:shd w:val="clear" w:color="auto" w:fill="FFFFFF"/>
        </w:rPr>
        <w:t>1.1 “采购人”系指使用财政性资金依法采购的国家机关、事业单位或团体组织。</w:t>
      </w:r>
    </w:p>
    <w:p w14:paraId="35793ADE">
      <w:pPr>
        <w:widowControl/>
        <w:spacing w:line="400" w:lineRule="exact"/>
      </w:pPr>
      <w:r>
        <w:rPr>
          <w:rFonts w:hint="eastAsia" w:ascii="宋体" w:hAnsi="宋体" w:cs="宋体"/>
          <w:kern w:val="0"/>
          <w:sz w:val="24"/>
          <w:shd w:val="clear" w:color="auto" w:fill="FFFFFF"/>
        </w:rPr>
        <w:t>1.2“供应商”系指响应谈判并且符合谈判文件规定资格条件和参加报价竞争的法人、其他组织或者自然人。</w:t>
      </w:r>
    </w:p>
    <w:p w14:paraId="66903D0A">
      <w:pPr>
        <w:widowControl/>
        <w:spacing w:line="400" w:lineRule="exact"/>
      </w:pPr>
      <w:r>
        <w:rPr>
          <w:rFonts w:hint="eastAsia" w:ascii="宋体" w:hAnsi="宋体" w:cs="宋体"/>
          <w:kern w:val="0"/>
          <w:sz w:val="24"/>
          <w:shd w:val="clear" w:color="auto" w:fill="FFFFFF"/>
        </w:rPr>
        <w:t>1.3“采购代理机构”系指</w:t>
      </w:r>
      <w:r>
        <w:rPr>
          <w:rFonts w:hint="eastAsia" w:ascii="宋体" w:hAnsi="宋体" w:cs="宋体"/>
          <w:sz w:val="24"/>
        </w:rPr>
        <w:t>江苏中兴迅达工程管理咨询有限公司</w:t>
      </w:r>
      <w:r>
        <w:rPr>
          <w:rFonts w:hint="eastAsia" w:ascii="宋体" w:hAnsi="宋体" w:cs="宋体"/>
          <w:kern w:val="0"/>
          <w:sz w:val="24"/>
          <w:shd w:val="clear" w:color="auto" w:fill="FFFFFF"/>
        </w:rPr>
        <w:t>。</w:t>
      </w:r>
    </w:p>
    <w:p w14:paraId="7C2463D2">
      <w:pPr>
        <w:widowControl/>
        <w:spacing w:line="400" w:lineRule="exact"/>
      </w:pPr>
      <w:r>
        <w:rPr>
          <w:rFonts w:hint="eastAsia" w:ascii="宋体" w:hAnsi="宋体" w:cs="宋体"/>
          <w:kern w:val="0"/>
          <w:sz w:val="24"/>
          <w:shd w:val="clear" w:color="auto" w:fill="FFFFFF"/>
        </w:rPr>
        <w:t>1.4“产品”系指供应商按谈判文件规定，须向采购人提供的一切设备、保险、税金、备品备件、工具、手册及其它有关技术资料和材料；“服务”系指谈判文件规定供应商须承担的安装、调试、技术协助、校准、培训、技术指导以及其他类似的义务。</w:t>
      </w:r>
    </w:p>
    <w:p w14:paraId="5ADD7873">
      <w:pPr>
        <w:widowControl/>
        <w:spacing w:line="400" w:lineRule="exact"/>
      </w:pPr>
      <w:r>
        <w:rPr>
          <w:rFonts w:hint="eastAsia" w:ascii="宋体" w:hAnsi="宋体" w:cs="宋体"/>
          <w:kern w:val="0"/>
          <w:sz w:val="24"/>
          <w:shd w:val="clear" w:color="auto" w:fill="FFFFFF"/>
        </w:rPr>
        <w:t>1.5 “项目”系指供应商按谈判文件规定向采购人提供的产品和服务。</w:t>
      </w:r>
    </w:p>
    <w:p w14:paraId="419FAB38">
      <w:pPr>
        <w:widowControl/>
        <w:spacing w:line="400" w:lineRule="exact"/>
      </w:pPr>
      <w:r>
        <w:rPr>
          <w:rFonts w:hint="eastAsia" w:ascii="宋体" w:hAnsi="宋体" w:cs="宋体"/>
          <w:kern w:val="0"/>
          <w:sz w:val="24"/>
          <w:shd w:val="clear" w:color="auto" w:fill="FFFFFF"/>
        </w:rPr>
        <w:t>1.6“响应”系指供应商根据采购人、采购代理机构发布的竞争性谈判公告，在线项目报名、下载谈判文件、编制谈判响应文件并按规定参加谈判的行为。</w:t>
      </w:r>
    </w:p>
    <w:p w14:paraId="3D78B8A4">
      <w:pPr>
        <w:widowControl/>
        <w:spacing w:line="400" w:lineRule="exact"/>
      </w:pPr>
      <w:r>
        <w:rPr>
          <w:rFonts w:hint="eastAsia" w:ascii="宋体" w:hAnsi="宋体" w:cs="宋体"/>
          <w:b/>
          <w:kern w:val="0"/>
          <w:sz w:val="24"/>
          <w:shd w:val="clear" w:color="auto" w:fill="FFFFFF"/>
        </w:rPr>
        <w:t>1.7谈判委托</w:t>
      </w:r>
    </w:p>
    <w:p w14:paraId="07D32C68">
      <w:pPr>
        <w:widowControl/>
        <w:spacing w:line="400" w:lineRule="exact"/>
      </w:pPr>
      <w:r>
        <w:rPr>
          <w:rFonts w:hint="eastAsia" w:ascii="宋体" w:hAnsi="宋体" w:cs="宋体"/>
          <w:kern w:val="0"/>
          <w:sz w:val="24"/>
          <w:shd w:val="clear" w:color="auto" w:fill="FFFFFF"/>
        </w:rPr>
        <w:t>1.7.1供应商代表须携带居民身份证。如供应商授权代表参加谈判的，还应同时提供法定代表人签字的授权委托书。</w:t>
      </w:r>
    </w:p>
    <w:p w14:paraId="06DDBB6E">
      <w:pPr>
        <w:widowControl/>
        <w:spacing w:line="400" w:lineRule="exact"/>
      </w:pPr>
      <w:r>
        <w:rPr>
          <w:rFonts w:hint="eastAsia" w:ascii="宋体" w:hAnsi="宋体" w:cs="宋体"/>
          <w:b/>
          <w:kern w:val="0"/>
          <w:sz w:val="24"/>
          <w:shd w:val="clear" w:color="auto" w:fill="FFFFFF"/>
        </w:rPr>
        <w:t>1.8关联企业谈判</w:t>
      </w:r>
    </w:p>
    <w:p w14:paraId="4124F07C">
      <w:pPr>
        <w:widowControl/>
        <w:spacing w:line="400" w:lineRule="exact"/>
      </w:pPr>
      <w:r>
        <w:rPr>
          <w:rFonts w:hint="eastAsia" w:ascii="宋体" w:hAnsi="宋体" w:cs="宋体"/>
          <w:kern w:val="0"/>
          <w:sz w:val="24"/>
          <w:shd w:val="clear" w:color="auto" w:fill="FFFFFF"/>
        </w:rPr>
        <w:t>1.8.1本谈判文件所称关联企业,是指存在“关联关系”的企业；“关联关系”的界定适用《中华人民共和国公司法》217条之规定。</w:t>
      </w:r>
    </w:p>
    <w:p w14:paraId="14E01932">
      <w:pPr>
        <w:widowControl/>
        <w:spacing w:line="400" w:lineRule="exact"/>
      </w:pPr>
      <w:r>
        <w:rPr>
          <w:rFonts w:hint="eastAsia" w:ascii="宋体" w:hAnsi="宋体" w:cs="宋体"/>
          <w:kern w:val="0"/>
          <w:sz w:val="24"/>
          <w:shd w:val="clear" w:color="auto" w:fill="FFFFFF"/>
        </w:rPr>
        <w:t xml:space="preserve">1.8.2关联企业中，单位负责人为同一人或者存在直接控股、管理关系的不同供应商，不得参加同一合同项下的政府采购活动。一经发现，将导致谈判同时被拒绝。 </w:t>
      </w:r>
    </w:p>
    <w:p w14:paraId="2AF6B102">
      <w:pPr>
        <w:widowControl/>
        <w:spacing w:line="400" w:lineRule="exact"/>
      </w:pPr>
      <w:r>
        <w:rPr>
          <w:rFonts w:hint="eastAsia" w:ascii="宋体" w:hAnsi="宋体" w:cs="宋体"/>
          <w:kern w:val="0"/>
          <w:sz w:val="24"/>
          <w:shd w:val="clear" w:color="auto" w:fill="FFFFFF"/>
        </w:rPr>
        <w:t>1.8.3代理商或经销商参加同一合同项下的政府采购活动，如其中两家或两家以上供应商以同一品牌、同一型号产品谈判的，评审时，取其中通过符合性检查且初次报价最低一家为有效供应商；当报价相同时，则以商务条件响应最优一家为有效供应商；均相同时，由谈判小组集体决定。</w:t>
      </w:r>
    </w:p>
    <w:p w14:paraId="6AE10C20">
      <w:pPr>
        <w:widowControl/>
        <w:spacing w:line="400" w:lineRule="exact"/>
      </w:pPr>
      <w:r>
        <w:rPr>
          <w:rFonts w:hint="eastAsia" w:ascii="宋体" w:hAnsi="宋体" w:cs="宋体"/>
          <w:kern w:val="0"/>
          <w:sz w:val="24"/>
          <w:shd w:val="clear" w:color="auto" w:fill="FFFFFF"/>
        </w:rPr>
        <w:t>1.8.4除单一来源采购项目外，为采购项目提供整体设计、规范编制或者项目管理、监理、检测等服务的供应商，不得再参加该采购项目的其他采购活动。</w:t>
      </w:r>
    </w:p>
    <w:p w14:paraId="246F2B55">
      <w:pPr>
        <w:widowControl/>
        <w:spacing w:line="400" w:lineRule="exact"/>
      </w:pPr>
      <w:r>
        <w:rPr>
          <w:rFonts w:hint="eastAsia" w:ascii="宋体" w:hAnsi="宋体" w:cs="宋体"/>
          <w:b/>
          <w:kern w:val="0"/>
          <w:sz w:val="24"/>
          <w:shd w:val="clear" w:color="auto" w:fill="FFFFFF"/>
        </w:rPr>
        <w:t>1.9特别说明</w:t>
      </w:r>
    </w:p>
    <w:p w14:paraId="57A53558">
      <w:pPr>
        <w:widowControl/>
        <w:spacing w:line="400" w:lineRule="exact"/>
      </w:pPr>
      <w:r>
        <w:rPr>
          <w:rFonts w:hint="eastAsia" w:ascii="宋体" w:hAnsi="宋体" w:cs="宋体"/>
          <w:kern w:val="0"/>
          <w:sz w:val="24"/>
          <w:shd w:val="clear" w:color="auto" w:fill="FFFFFF"/>
        </w:rPr>
        <w:t>1.9.1谈判供应商所使用的资格、信誉、荣誉、业绩及企业认证等必须为本法人所拥有。</w:t>
      </w:r>
    </w:p>
    <w:p w14:paraId="2AA5125F">
      <w:pPr>
        <w:widowControl/>
        <w:spacing w:line="400" w:lineRule="exact"/>
      </w:pPr>
      <w:r>
        <w:rPr>
          <w:rFonts w:hint="eastAsia" w:ascii="宋体" w:hAnsi="宋体" w:cs="宋体"/>
          <w:kern w:val="0"/>
          <w:sz w:val="24"/>
          <w:shd w:val="clear" w:color="auto" w:fill="FFFFFF"/>
        </w:rPr>
        <w:t>1.9.2谈判响应文件不得含有任何虚假材料,否则作无效谈判处理;成交后发现的,</w:t>
      </w:r>
      <w:r>
        <w:rPr>
          <w:rFonts w:hint="eastAsia" w:ascii="宋体" w:hAnsi="宋体" w:cs="宋体"/>
          <w:color w:val="000000"/>
          <w:kern w:val="0"/>
          <w:sz w:val="24"/>
          <w:shd w:val="clear" w:color="auto" w:fill="FFFFFF"/>
        </w:rPr>
        <w:t xml:space="preserve"> 成交供应商</w:t>
      </w:r>
      <w:r>
        <w:rPr>
          <w:rFonts w:hint="eastAsia" w:ascii="宋体" w:hAnsi="宋体" w:cs="宋体"/>
          <w:kern w:val="0"/>
          <w:sz w:val="24"/>
          <w:shd w:val="clear" w:color="auto" w:fill="FFFFFF"/>
        </w:rPr>
        <w:t>须依照《中华人民共和国消费者权益保护法》第49条之规定赔偿采购人。民事上之赔偿不免除作假供应商之行政与刑事责任。</w:t>
      </w:r>
    </w:p>
    <w:p w14:paraId="320103C1">
      <w:pPr>
        <w:widowControl/>
        <w:spacing w:line="400" w:lineRule="exact"/>
      </w:pPr>
      <w:r>
        <w:rPr>
          <w:rFonts w:hint="eastAsia" w:ascii="宋体" w:hAnsi="宋体" w:cs="宋体"/>
          <w:kern w:val="0"/>
          <w:sz w:val="24"/>
          <w:shd w:val="clear" w:color="auto" w:fill="FFFFFF"/>
        </w:rPr>
        <w:t>1.9.3供应商应承担其编写、提交谈判响应文件以及参加本次谈判活动的所有费用，不论谈判采购结果如何，采购人、采购代理机构在任何情况下均无义务和责任承担这些费用。</w:t>
      </w:r>
    </w:p>
    <w:p w14:paraId="5FA77D7A">
      <w:pPr>
        <w:widowControl/>
        <w:spacing w:line="400" w:lineRule="exact"/>
      </w:pPr>
      <w:r>
        <w:rPr>
          <w:b/>
          <w:kern w:val="0"/>
          <w:sz w:val="24"/>
          <w:shd w:val="clear" w:color="auto" w:fill="FFFFFF"/>
        </w:rPr>
        <w:t>2</w:t>
      </w:r>
      <w:r>
        <w:rPr>
          <w:rFonts w:hint="eastAsia" w:hAnsi="宋体" w:cs="宋体"/>
          <w:b/>
          <w:kern w:val="0"/>
          <w:sz w:val="24"/>
          <w:shd w:val="clear" w:color="auto" w:fill="FFFFFF"/>
        </w:rPr>
        <w:t>、</w:t>
      </w:r>
      <w:r>
        <w:rPr>
          <w:rFonts w:hint="eastAsia" w:ascii="宋体" w:hAnsi="宋体" w:cs="宋体"/>
          <w:b/>
          <w:kern w:val="0"/>
          <w:sz w:val="24"/>
          <w:shd w:val="clear" w:color="auto" w:fill="FFFFFF"/>
        </w:rPr>
        <w:t>谈判响应文件有效期</w:t>
      </w:r>
    </w:p>
    <w:p w14:paraId="47504139">
      <w:pPr>
        <w:widowControl/>
        <w:spacing w:line="400" w:lineRule="exact"/>
      </w:pPr>
      <w:r>
        <w:rPr>
          <w:rFonts w:hint="eastAsia" w:ascii="宋体" w:hAnsi="宋体" w:cs="宋体"/>
          <w:kern w:val="0"/>
          <w:sz w:val="24"/>
          <w:shd w:val="clear" w:color="auto" w:fill="FFFFFF"/>
        </w:rPr>
        <w:t>2.1谈判响应文件必须保持自谈判之日起45日内有效，谈判响应文件有效期不足的将被视为非响应性报价而予以拒绝。</w:t>
      </w:r>
    </w:p>
    <w:p w14:paraId="5DA9963C">
      <w:pPr>
        <w:widowControl/>
        <w:spacing w:line="400" w:lineRule="exact"/>
      </w:pPr>
      <w:r>
        <w:rPr>
          <w:rFonts w:hint="eastAsia" w:ascii="宋体" w:hAnsi="宋体" w:cs="宋体"/>
          <w:kern w:val="0"/>
          <w:sz w:val="24"/>
          <w:shd w:val="clear" w:color="auto" w:fill="FFFFFF"/>
        </w:rPr>
        <w:t>2.2 特殊情况下，在谈判响应文件有效期截止之前，采购人、采购代理机构可要求供应商同意延长谈判响应文件有效期。这种要求与答复均应以书面形式进行。</w:t>
      </w:r>
    </w:p>
    <w:p w14:paraId="264CE26C">
      <w:pPr>
        <w:widowControl/>
        <w:spacing w:line="400" w:lineRule="exact"/>
      </w:pPr>
      <w:r>
        <w:rPr>
          <w:b/>
          <w:kern w:val="0"/>
          <w:sz w:val="24"/>
          <w:shd w:val="clear" w:color="auto" w:fill="FFFFFF"/>
        </w:rPr>
        <w:t>3</w:t>
      </w:r>
      <w:r>
        <w:rPr>
          <w:rFonts w:hint="eastAsia" w:hAnsi="宋体" w:cs="宋体"/>
          <w:b/>
          <w:kern w:val="0"/>
          <w:sz w:val="24"/>
          <w:shd w:val="clear" w:color="auto" w:fill="FFFFFF"/>
        </w:rPr>
        <w:t>、谈判文件</w:t>
      </w:r>
    </w:p>
    <w:p w14:paraId="4E268286">
      <w:pPr>
        <w:widowControl/>
        <w:spacing w:line="400" w:lineRule="exact"/>
      </w:pPr>
      <w:r>
        <w:rPr>
          <w:rFonts w:hint="eastAsia" w:ascii="宋体" w:hAnsi="宋体" w:cs="宋体"/>
          <w:b/>
          <w:color w:val="000000"/>
          <w:kern w:val="0"/>
          <w:sz w:val="24"/>
          <w:shd w:val="clear" w:color="auto" w:fill="FFFFFF"/>
        </w:rPr>
        <w:t>3.1</w:t>
      </w:r>
      <w:r>
        <w:rPr>
          <w:rFonts w:hint="eastAsia" w:ascii="宋体" w:hAnsi="宋体" w:cs="宋体"/>
          <w:b/>
          <w:kern w:val="0"/>
          <w:sz w:val="24"/>
          <w:shd w:val="clear" w:color="auto" w:fill="FFFFFF"/>
        </w:rPr>
        <w:t xml:space="preserve">谈判文件的构成 </w:t>
      </w:r>
    </w:p>
    <w:p w14:paraId="6F57AED3">
      <w:pPr>
        <w:widowControl/>
        <w:spacing w:line="400" w:lineRule="exact"/>
      </w:pPr>
      <w:r>
        <w:rPr>
          <w:rFonts w:hint="eastAsia" w:ascii="宋体" w:hAnsi="宋体" w:cs="宋体"/>
          <w:kern w:val="0"/>
          <w:sz w:val="24"/>
          <w:shd w:val="clear" w:color="auto" w:fill="FFFFFF"/>
        </w:rPr>
        <w:t>3.1.1谈判文件包括以下内容：谈判邀请、供应商须知、项目采购需求、合同草案条款、谈判响应文件的组成和格式。制作谈判响应文件前请仔细阅读谈判文件，如果供应商没有按照谈判文件要求和规定编制谈判响应文件及提交全部资料，或者未对谈判文件做出全面响应，其风险由供应商承担。</w:t>
      </w:r>
    </w:p>
    <w:p w14:paraId="795BD0C6">
      <w:pPr>
        <w:widowControl/>
        <w:spacing w:line="400" w:lineRule="exact"/>
      </w:pPr>
      <w:r>
        <w:rPr>
          <w:b/>
          <w:kern w:val="0"/>
          <w:sz w:val="24"/>
          <w:shd w:val="clear" w:color="auto" w:fill="FFFFFF"/>
        </w:rPr>
        <w:t>4</w:t>
      </w:r>
      <w:r>
        <w:rPr>
          <w:rFonts w:hint="eastAsia" w:hAnsi="宋体" w:cs="宋体"/>
          <w:b/>
          <w:kern w:val="0"/>
          <w:sz w:val="24"/>
          <w:shd w:val="clear" w:color="auto" w:fill="FFFFFF"/>
        </w:rPr>
        <w:t>、谈判响应文件</w:t>
      </w:r>
    </w:p>
    <w:p w14:paraId="1442BA02">
      <w:pPr>
        <w:widowControl/>
        <w:adjustRightInd w:val="0"/>
        <w:spacing w:line="400" w:lineRule="exact"/>
      </w:pPr>
      <w:r>
        <w:rPr>
          <w:rFonts w:hint="eastAsia" w:ascii="宋体" w:hAnsi="宋体" w:cs="宋体"/>
          <w:b/>
          <w:kern w:val="0"/>
          <w:sz w:val="24"/>
          <w:shd w:val="clear" w:color="auto" w:fill="FFFFFF"/>
        </w:rPr>
        <w:t>4</w:t>
      </w:r>
      <w:r>
        <w:rPr>
          <w:rFonts w:hint="eastAsia" w:ascii="宋体" w:hAnsi="宋体" w:cs="宋体"/>
          <w:b/>
          <w:kern w:val="0"/>
          <w:sz w:val="24"/>
          <w:shd w:val="clear" w:color="auto" w:fill="FFFFFF"/>
          <w:lang w:val="zh-CN"/>
        </w:rPr>
        <w:t xml:space="preserve">.1 </w:t>
      </w:r>
      <w:r>
        <w:rPr>
          <w:rFonts w:hint="eastAsia" w:hAnsi="宋体" w:cs="宋体"/>
          <w:b/>
          <w:kern w:val="0"/>
          <w:sz w:val="24"/>
          <w:shd w:val="clear" w:color="auto" w:fill="FFFFFF"/>
        </w:rPr>
        <w:t>谈判响应文件</w:t>
      </w:r>
      <w:r>
        <w:rPr>
          <w:rFonts w:hint="eastAsia" w:ascii="宋体" w:hAnsi="宋体" w:cs="宋体"/>
          <w:b/>
          <w:kern w:val="0"/>
          <w:sz w:val="24"/>
          <w:shd w:val="clear" w:color="auto" w:fill="FFFFFF"/>
          <w:lang w:val="zh-CN"/>
        </w:rPr>
        <w:t xml:space="preserve">的编制 </w:t>
      </w:r>
    </w:p>
    <w:p w14:paraId="6186E709">
      <w:pPr>
        <w:widowControl/>
        <w:adjustRightInd w:val="0"/>
        <w:spacing w:line="400" w:lineRule="exact"/>
      </w:pPr>
      <w:r>
        <w:rPr>
          <w:rFonts w:hint="eastAsia" w:ascii="宋体" w:hAnsi="宋体" w:cs="宋体"/>
          <w:bCs/>
          <w:color w:val="000000"/>
          <w:kern w:val="0"/>
          <w:sz w:val="24"/>
          <w:shd w:val="clear" w:color="auto" w:fill="FFFFFF"/>
        </w:rPr>
        <w:t>4.1.1</w:t>
      </w:r>
      <w:r>
        <w:rPr>
          <w:rFonts w:hint="eastAsia" w:hAnsi="宋体" w:cs="宋体"/>
          <w:kern w:val="0"/>
          <w:sz w:val="24"/>
          <w:shd w:val="clear" w:color="auto" w:fill="FFFFFF"/>
        </w:rPr>
        <w:t>谈判响应文件</w:t>
      </w:r>
      <w:r>
        <w:rPr>
          <w:rFonts w:hint="eastAsia" w:ascii="宋体" w:hAnsi="宋体" w:cs="宋体"/>
          <w:kern w:val="0"/>
          <w:sz w:val="24"/>
          <w:shd w:val="clear" w:color="auto" w:fill="FFFFFF"/>
          <w:lang w:val="zh-CN"/>
        </w:rPr>
        <w:t>应用中文编写，以A4规格纸</w:t>
      </w:r>
      <w:r>
        <w:rPr>
          <w:rFonts w:hint="eastAsia" w:ascii="宋体" w:hAnsi="宋体" w:cs="宋体"/>
          <w:color w:val="000000"/>
          <w:kern w:val="0"/>
          <w:sz w:val="24"/>
          <w:shd w:val="clear" w:color="auto" w:fill="FFFFFF"/>
        </w:rPr>
        <w:t>打印（</w:t>
      </w:r>
      <w:r>
        <w:rPr>
          <w:rFonts w:hint="eastAsia" w:ascii="宋体" w:hAnsi="宋体" w:cs="宋体"/>
          <w:b/>
          <w:kern w:val="0"/>
          <w:sz w:val="24"/>
          <w:shd w:val="clear" w:color="auto" w:fill="FFFFFF"/>
        </w:rPr>
        <w:t>鼓励</w:t>
      </w:r>
      <w:r>
        <w:rPr>
          <w:rFonts w:hint="eastAsia" w:ascii="宋体" w:hAnsi="宋体" w:cs="宋体"/>
          <w:b/>
          <w:color w:val="000000"/>
          <w:kern w:val="0"/>
          <w:sz w:val="24"/>
          <w:shd w:val="clear" w:color="auto" w:fill="FFFFFF"/>
        </w:rPr>
        <w:t>双面打印</w:t>
      </w:r>
      <w:r>
        <w:rPr>
          <w:rFonts w:hint="eastAsia" w:ascii="宋体" w:hAnsi="宋体" w:cs="宋体"/>
          <w:color w:val="000000"/>
          <w:kern w:val="0"/>
          <w:sz w:val="24"/>
          <w:shd w:val="clear" w:color="auto" w:fill="FFFFFF"/>
        </w:rPr>
        <w:t>）或用钢笔工整书写</w:t>
      </w:r>
      <w:r>
        <w:rPr>
          <w:rFonts w:hint="eastAsia" w:ascii="宋体" w:hAnsi="宋体" w:cs="宋体"/>
          <w:kern w:val="0"/>
          <w:sz w:val="24"/>
          <w:shd w:val="clear" w:color="auto" w:fill="FFFFFF"/>
          <w:lang w:val="zh-CN"/>
        </w:rPr>
        <w:t>，装订成册；</w:t>
      </w:r>
    </w:p>
    <w:p w14:paraId="2332B4D4">
      <w:pPr>
        <w:widowControl/>
        <w:adjustRightInd w:val="0"/>
        <w:spacing w:line="400" w:lineRule="exact"/>
      </w:pPr>
      <w:r>
        <w:rPr>
          <w:rFonts w:hint="eastAsia" w:ascii="宋体" w:hAnsi="宋体" w:cs="宋体"/>
          <w:kern w:val="0"/>
          <w:sz w:val="24"/>
          <w:shd w:val="clear" w:color="auto" w:fill="FFFFFF"/>
          <w:lang w:val="zh-CN"/>
        </w:rPr>
        <w:t xml:space="preserve">4.1.2 </w:t>
      </w:r>
      <w:r>
        <w:rPr>
          <w:rFonts w:hint="eastAsia" w:hAnsi="宋体" w:cs="宋体"/>
          <w:kern w:val="0"/>
          <w:sz w:val="24"/>
          <w:shd w:val="clear" w:color="auto" w:fill="FFFFFF"/>
        </w:rPr>
        <w:t>谈判响应文件</w:t>
      </w:r>
      <w:r>
        <w:rPr>
          <w:rFonts w:hint="eastAsia" w:ascii="宋体" w:hAnsi="宋体" w:cs="宋体"/>
          <w:kern w:val="0"/>
          <w:sz w:val="24"/>
          <w:shd w:val="clear" w:color="auto" w:fill="FFFFFF"/>
          <w:lang w:val="zh-CN"/>
        </w:rPr>
        <w:t>的</w:t>
      </w:r>
      <w:r>
        <w:rPr>
          <w:rFonts w:hint="eastAsia" w:ascii="宋体" w:hAnsi="宋体" w:cs="宋体"/>
          <w:color w:val="000000"/>
          <w:kern w:val="0"/>
          <w:sz w:val="24"/>
          <w:shd w:val="clear" w:color="auto" w:fill="FFFFFF"/>
        </w:rPr>
        <w:t>章节分为：</w:t>
      </w:r>
      <w:r>
        <w:rPr>
          <w:rFonts w:hint="eastAsia" w:ascii="宋体" w:hAnsi="宋体" w:cs="宋体"/>
          <w:kern w:val="0"/>
          <w:sz w:val="24"/>
          <w:shd w:val="clear" w:color="auto" w:fill="FFFFFF"/>
        </w:rPr>
        <w:t xml:space="preserve">价格、技术和商务三个部分，每个部分具体内容及格式详见 第五章 </w:t>
      </w:r>
      <w:r>
        <w:rPr>
          <w:rFonts w:hint="eastAsia" w:ascii="宋体" w:hAnsi="宋体" w:cs="宋体"/>
          <w:bCs/>
          <w:color w:val="000000"/>
          <w:kern w:val="0"/>
          <w:sz w:val="24"/>
          <w:shd w:val="clear" w:color="auto" w:fill="FFFFFF"/>
        </w:rPr>
        <w:t>谈判响应文件</w:t>
      </w:r>
      <w:r>
        <w:rPr>
          <w:rFonts w:hint="eastAsia" w:ascii="宋体" w:hAnsi="宋体" w:cs="宋体"/>
          <w:kern w:val="0"/>
          <w:sz w:val="24"/>
          <w:shd w:val="clear" w:color="auto" w:fill="FFFFFF"/>
        </w:rPr>
        <w:t>的组成和格式；</w:t>
      </w:r>
    </w:p>
    <w:p w14:paraId="57BBCA21">
      <w:pPr>
        <w:widowControl/>
        <w:adjustRightInd w:val="0"/>
        <w:spacing w:line="400" w:lineRule="exact"/>
      </w:pPr>
      <w:r>
        <w:rPr>
          <w:rFonts w:hint="eastAsia" w:ascii="宋体" w:hAnsi="宋体" w:cs="宋体"/>
          <w:color w:val="000000"/>
          <w:kern w:val="0"/>
          <w:sz w:val="24"/>
          <w:shd w:val="clear" w:color="auto" w:fill="FFFFFF"/>
        </w:rPr>
        <w:t xml:space="preserve">4.1.3 </w:t>
      </w:r>
      <w:r>
        <w:rPr>
          <w:rFonts w:hint="eastAsia" w:hAnsi="宋体" w:cs="宋体"/>
          <w:kern w:val="0"/>
          <w:sz w:val="24"/>
          <w:shd w:val="clear" w:color="auto" w:fill="FFFFFF"/>
        </w:rPr>
        <w:t>谈判响应文件</w:t>
      </w:r>
      <w:r>
        <w:rPr>
          <w:rFonts w:hint="eastAsia" w:ascii="宋体" w:hAnsi="宋体" w:cs="宋体"/>
          <w:spacing w:val="-4"/>
          <w:kern w:val="0"/>
          <w:sz w:val="24"/>
          <w:shd w:val="clear" w:color="auto" w:fill="FFFFFF"/>
        </w:rPr>
        <w:t>一式三份（正本一份、副本二份）</w:t>
      </w:r>
      <w:r>
        <w:rPr>
          <w:rFonts w:hint="eastAsia" w:ascii="宋体" w:hAnsi="宋体" w:cs="宋体"/>
          <w:color w:val="000000"/>
          <w:kern w:val="0"/>
          <w:sz w:val="24"/>
          <w:shd w:val="clear" w:color="auto" w:fill="FFFFFF"/>
        </w:rPr>
        <w:t>，供应商应在每份</w:t>
      </w:r>
      <w:r>
        <w:rPr>
          <w:rFonts w:hint="eastAsia" w:ascii="宋体" w:hAnsi="宋体" w:cs="宋体"/>
          <w:bCs/>
          <w:color w:val="000000"/>
          <w:kern w:val="0"/>
          <w:sz w:val="24"/>
          <w:shd w:val="clear" w:color="auto" w:fill="FFFFFF"/>
        </w:rPr>
        <w:t>谈判响应文件</w:t>
      </w:r>
      <w:r>
        <w:rPr>
          <w:rFonts w:hint="eastAsia" w:ascii="宋体" w:hAnsi="宋体" w:cs="宋体"/>
          <w:color w:val="000000"/>
          <w:kern w:val="0"/>
          <w:sz w:val="24"/>
          <w:shd w:val="clear" w:color="auto" w:fill="FFFFFF"/>
        </w:rPr>
        <w:t>上注明“正本”、“副本”字样；</w:t>
      </w:r>
    </w:p>
    <w:p w14:paraId="38E2D390">
      <w:pPr>
        <w:widowControl/>
        <w:adjustRightInd w:val="0"/>
        <w:spacing w:line="400" w:lineRule="exact"/>
        <w:rPr>
          <w:rFonts w:ascii="宋体" w:hAnsi="宋体" w:cs="宋体"/>
          <w:kern w:val="0"/>
          <w:sz w:val="24"/>
          <w:shd w:val="clear" w:color="auto" w:fill="FFFFFF"/>
          <w:lang w:val="zh-CN"/>
        </w:rPr>
      </w:pPr>
      <w:r>
        <w:rPr>
          <w:rFonts w:hint="eastAsia" w:ascii="宋体" w:hAnsi="宋体" w:cs="宋体"/>
          <w:color w:val="000000"/>
          <w:kern w:val="0"/>
          <w:sz w:val="24"/>
          <w:shd w:val="clear" w:color="auto" w:fill="FFFFFF"/>
        </w:rPr>
        <w:t xml:space="preserve">4.1.4 </w:t>
      </w:r>
      <w:r>
        <w:rPr>
          <w:rFonts w:hint="eastAsia" w:ascii="宋体" w:hAnsi="宋体" w:cs="宋体"/>
          <w:bCs/>
          <w:color w:val="000000"/>
          <w:kern w:val="0"/>
          <w:sz w:val="24"/>
          <w:shd w:val="clear" w:color="auto" w:fill="FFFFFF"/>
        </w:rPr>
        <w:t>谈判响应文件</w:t>
      </w:r>
      <w:r>
        <w:rPr>
          <w:rFonts w:hint="eastAsia" w:ascii="宋体" w:hAnsi="宋体" w:cs="宋体"/>
          <w:kern w:val="0"/>
          <w:sz w:val="24"/>
          <w:shd w:val="clear" w:color="auto" w:fill="FFFFFF"/>
          <w:lang w:val="zh-CN"/>
        </w:rPr>
        <w:t>的正本需要法定代表人或授权代表在规定的签字或盖章处签字或盖章。副本可以是正本的复印件，</w:t>
      </w:r>
      <w:r>
        <w:rPr>
          <w:rFonts w:hint="eastAsia" w:ascii="宋体" w:hAnsi="宋体" w:cs="宋体"/>
          <w:color w:val="000000"/>
          <w:kern w:val="0"/>
          <w:sz w:val="24"/>
          <w:shd w:val="clear" w:color="auto" w:fill="FFFFFF"/>
        </w:rPr>
        <w:t>如果出现正本和副本表述不一致，则以</w:t>
      </w:r>
      <w:r>
        <w:rPr>
          <w:rFonts w:hint="eastAsia" w:ascii="宋体" w:hAnsi="宋体" w:cs="宋体"/>
          <w:kern w:val="0"/>
          <w:sz w:val="24"/>
          <w:shd w:val="clear" w:color="auto" w:fill="FFFFFF"/>
          <w:lang w:val="zh-CN"/>
        </w:rPr>
        <w:t>正本为准；</w:t>
      </w:r>
    </w:p>
    <w:p w14:paraId="512F6614">
      <w:pPr>
        <w:widowControl/>
        <w:adjustRightInd w:val="0"/>
        <w:spacing w:line="400" w:lineRule="exact"/>
        <w:rPr>
          <w:rFonts w:ascii="宋体" w:hAnsi="宋体" w:cs="宋体"/>
          <w:kern w:val="0"/>
          <w:sz w:val="24"/>
          <w:shd w:val="clear" w:color="auto" w:fill="FFFFFF"/>
          <w:lang w:val="zh-CN"/>
        </w:rPr>
      </w:pPr>
      <w:r>
        <w:rPr>
          <w:rFonts w:hint="eastAsia" w:ascii="宋体" w:hAnsi="宋体" w:cs="宋体"/>
          <w:kern w:val="0"/>
          <w:sz w:val="24"/>
          <w:shd w:val="clear" w:color="auto" w:fill="FFFFFF"/>
        </w:rPr>
        <w:t>4.1.5</w:t>
      </w:r>
      <w:r>
        <w:rPr>
          <w:rFonts w:hint="eastAsia" w:ascii="宋体" w:hAnsi="宋体" w:cs="宋体"/>
          <w:kern w:val="0"/>
          <w:sz w:val="24"/>
          <w:shd w:val="clear" w:color="auto" w:fill="FFFFFF"/>
          <w:lang w:val="zh-CN"/>
        </w:rPr>
        <w:t>技术应答内容完全或者绝大部分复制采购文件规定要求，且无相关证明材料的（主要适用于专用设备和电子信息化建设采购项目，政府采购的货物属于规格标准统一或者订制产品的除外），作为无效响应文件处理。</w:t>
      </w:r>
    </w:p>
    <w:p w14:paraId="5508E525">
      <w:pPr>
        <w:widowControl/>
        <w:adjustRightInd w:val="0"/>
        <w:spacing w:line="400" w:lineRule="exact"/>
      </w:pPr>
      <w:r>
        <w:rPr>
          <w:rFonts w:hint="eastAsia" w:ascii="宋体" w:hAnsi="宋体" w:cs="宋体"/>
          <w:b/>
          <w:kern w:val="0"/>
          <w:sz w:val="24"/>
          <w:shd w:val="clear" w:color="auto" w:fill="FFFFFF"/>
        </w:rPr>
        <w:t xml:space="preserve">4.2 </w:t>
      </w:r>
      <w:r>
        <w:rPr>
          <w:rFonts w:hint="eastAsia" w:hAnsi="宋体" w:cs="宋体"/>
          <w:b/>
          <w:kern w:val="0"/>
          <w:sz w:val="24"/>
          <w:shd w:val="clear" w:color="auto" w:fill="FFFFFF"/>
        </w:rPr>
        <w:t>谈判响应文件</w:t>
      </w:r>
      <w:r>
        <w:rPr>
          <w:rFonts w:hint="eastAsia" w:ascii="宋体" w:hAnsi="宋体" w:cs="宋体"/>
          <w:b/>
          <w:color w:val="000000"/>
          <w:kern w:val="0"/>
          <w:sz w:val="24"/>
          <w:shd w:val="clear" w:color="auto" w:fill="FFFFFF"/>
        </w:rPr>
        <w:t>的密封</w:t>
      </w:r>
    </w:p>
    <w:p w14:paraId="3ED2CAB2">
      <w:pPr>
        <w:widowControl/>
        <w:adjustRightInd w:val="0"/>
        <w:spacing w:line="400" w:lineRule="exact"/>
      </w:pPr>
      <w:r>
        <w:rPr>
          <w:rFonts w:hint="eastAsia" w:ascii="宋体" w:hAnsi="宋体" w:cs="宋体"/>
          <w:color w:val="000000"/>
          <w:kern w:val="0"/>
          <w:sz w:val="24"/>
          <w:shd w:val="clear" w:color="auto" w:fill="FFFFFF"/>
        </w:rPr>
        <w:t>4.2.1供应商应将</w:t>
      </w:r>
      <w:r>
        <w:rPr>
          <w:rFonts w:hint="eastAsia" w:hAnsi="宋体" w:cs="宋体"/>
          <w:kern w:val="0"/>
          <w:sz w:val="24"/>
          <w:shd w:val="clear" w:color="auto" w:fill="FFFFFF"/>
        </w:rPr>
        <w:t>谈判响应文件</w:t>
      </w:r>
      <w:r>
        <w:rPr>
          <w:rFonts w:hint="eastAsia" w:ascii="宋体" w:hAnsi="宋体" w:cs="宋体"/>
          <w:color w:val="000000"/>
          <w:kern w:val="0"/>
          <w:sz w:val="24"/>
          <w:shd w:val="clear" w:color="auto" w:fill="FFFFFF"/>
        </w:rPr>
        <w:t>装在密封袋内，封口处应加盖公章，外封面注明：项目名称、编号、供应商名称（公章）、地址、联系人及电话、并写明启封日期。</w:t>
      </w:r>
    </w:p>
    <w:p w14:paraId="23E26DE8">
      <w:pPr>
        <w:widowControl/>
        <w:adjustRightInd w:val="0"/>
        <w:spacing w:line="400" w:lineRule="exact"/>
      </w:pPr>
      <w:r>
        <w:rPr>
          <w:rFonts w:hint="eastAsia" w:ascii="宋体" w:hAnsi="宋体" w:cs="宋体"/>
          <w:b/>
          <w:color w:val="000000"/>
          <w:kern w:val="0"/>
          <w:sz w:val="24"/>
          <w:shd w:val="clear" w:color="auto" w:fill="FFFFFF"/>
        </w:rPr>
        <w:t xml:space="preserve">4.3 </w:t>
      </w:r>
      <w:r>
        <w:rPr>
          <w:rFonts w:hint="eastAsia" w:hAnsi="宋体" w:cs="宋体"/>
          <w:b/>
          <w:kern w:val="0"/>
          <w:sz w:val="24"/>
          <w:shd w:val="clear" w:color="auto" w:fill="FFFFFF"/>
        </w:rPr>
        <w:t>谈判响应文件</w:t>
      </w:r>
      <w:r>
        <w:rPr>
          <w:rFonts w:hint="eastAsia" w:ascii="宋体" w:hAnsi="宋体" w:cs="宋体"/>
          <w:b/>
          <w:color w:val="000000"/>
          <w:kern w:val="0"/>
          <w:sz w:val="24"/>
          <w:shd w:val="clear" w:color="auto" w:fill="FFFFFF"/>
        </w:rPr>
        <w:t>的交存</w:t>
      </w:r>
    </w:p>
    <w:p w14:paraId="5671FC4C">
      <w:pPr>
        <w:widowControl/>
        <w:adjustRightInd w:val="0"/>
        <w:spacing w:line="400" w:lineRule="exact"/>
      </w:pPr>
      <w:r>
        <w:rPr>
          <w:rFonts w:hint="eastAsia" w:ascii="宋体" w:hAnsi="宋体" w:cs="宋体"/>
          <w:color w:val="000000"/>
          <w:kern w:val="0"/>
          <w:sz w:val="24"/>
          <w:shd w:val="clear" w:color="auto" w:fill="FFFFFF"/>
        </w:rPr>
        <w:t>4.3.1 供应商应派代表在谈判文件</w:t>
      </w:r>
      <w:r>
        <w:rPr>
          <w:rFonts w:hint="eastAsia" w:ascii="宋体" w:hAnsi="宋体" w:cs="宋体"/>
          <w:kern w:val="0"/>
          <w:sz w:val="24"/>
          <w:shd w:val="clear" w:color="auto" w:fill="FFFFFF"/>
        </w:rPr>
        <w:t>规定的时间和地点签到，以表明其准时参加谈判采购活动。</w:t>
      </w:r>
    </w:p>
    <w:p w14:paraId="09DF1B1C">
      <w:pPr>
        <w:widowControl/>
        <w:adjustRightInd w:val="0"/>
        <w:spacing w:line="400" w:lineRule="exact"/>
      </w:pPr>
      <w:r>
        <w:rPr>
          <w:rFonts w:hint="eastAsia" w:ascii="宋体" w:hAnsi="宋体" w:cs="宋体"/>
          <w:kern w:val="0"/>
          <w:sz w:val="24"/>
          <w:shd w:val="clear" w:color="auto" w:fill="FFFFFF"/>
        </w:rPr>
        <w:t xml:space="preserve">4.3.2 </w:t>
      </w:r>
      <w:r>
        <w:rPr>
          <w:rFonts w:hint="eastAsia" w:ascii="宋体" w:hAnsi="宋体" w:cs="宋体"/>
          <w:bCs/>
          <w:color w:val="000000"/>
          <w:kern w:val="0"/>
          <w:sz w:val="24"/>
          <w:shd w:val="clear" w:color="auto" w:fill="FFFFFF"/>
        </w:rPr>
        <w:t>谈判响应文件</w:t>
      </w:r>
      <w:r>
        <w:rPr>
          <w:rFonts w:hint="eastAsia" w:ascii="宋体" w:hAnsi="宋体" w:cs="宋体"/>
          <w:kern w:val="0"/>
          <w:sz w:val="24"/>
          <w:shd w:val="clear" w:color="auto" w:fill="FFFFFF"/>
          <w:lang w:val="zh-CN"/>
        </w:rPr>
        <w:t>应</w:t>
      </w:r>
      <w:r>
        <w:rPr>
          <w:rFonts w:hint="eastAsia" w:ascii="宋体" w:hAnsi="宋体" w:cs="宋体"/>
          <w:color w:val="000000"/>
          <w:kern w:val="0"/>
          <w:sz w:val="24"/>
          <w:shd w:val="clear" w:color="auto" w:fill="FFFFFF"/>
        </w:rPr>
        <w:t>在规定的时间和地点按要求密封送达谈判现场，在截止时间后送达的谈判响应文件，</w:t>
      </w:r>
      <w:r>
        <w:rPr>
          <w:rFonts w:hint="eastAsia" w:ascii="宋体" w:hAnsi="宋体" w:cs="宋体"/>
          <w:kern w:val="0"/>
          <w:sz w:val="24"/>
          <w:shd w:val="clear" w:color="auto" w:fill="FFFFFF"/>
        </w:rPr>
        <w:t>采购人、采购代理机构</w:t>
      </w:r>
      <w:r>
        <w:rPr>
          <w:rFonts w:hint="eastAsia" w:ascii="宋体" w:hAnsi="宋体" w:cs="宋体"/>
          <w:color w:val="000000"/>
          <w:kern w:val="0"/>
          <w:sz w:val="24"/>
          <w:shd w:val="clear" w:color="auto" w:fill="FFFFFF"/>
        </w:rPr>
        <w:t>或者谈判小组将予拒收。</w:t>
      </w:r>
    </w:p>
    <w:p w14:paraId="5B4C6D6D">
      <w:pPr>
        <w:widowControl/>
        <w:adjustRightInd w:val="0"/>
        <w:spacing w:line="400" w:lineRule="exact"/>
      </w:pPr>
      <w:r>
        <w:rPr>
          <w:rFonts w:hint="eastAsia" w:ascii="宋体" w:hAnsi="宋体" w:cs="宋体"/>
          <w:kern w:val="0"/>
          <w:sz w:val="24"/>
          <w:shd w:val="clear" w:color="auto" w:fill="FFFFFF"/>
          <w:lang w:val="zh-CN"/>
        </w:rPr>
        <w:t xml:space="preserve">4.3.3 </w:t>
      </w:r>
      <w:r>
        <w:rPr>
          <w:rFonts w:hint="eastAsia" w:ascii="宋体" w:hAnsi="宋体" w:cs="宋体"/>
          <w:color w:val="000000"/>
          <w:kern w:val="0"/>
          <w:sz w:val="24"/>
          <w:shd w:val="clear" w:color="auto" w:fill="FFFFFF"/>
        </w:rPr>
        <w:t>谈判采购结束后，所有谈判响应文件归</w:t>
      </w:r>
      <w:r>
        <w:rPr>
          <w:rFonts w:hint="eastAsia" w:ascii="宋体" w:hAnsi="宋体" w:cs="宋体"/>
          <w:sz w:val="24"/>
        </w:rPr>
        <w:t>江苏中兴迅达工程管理咨询有限公司</w:t>
      </w:r>
      <w:r>
        <w:rPr>
          <w:rFonts w:hint="eastAsia" w:ascii="宋体" w:hAnsi="宋体" w:cs="宋体"/>
          <w:color w:val="000000"/>
          <w:kern w:val="0"/>
          <w:sz w:val="24"/>
          <w:shd w:val="clear" w:color="auto" w:fill="FFFFFF"/>
        </w:rPr>
        <w:t>依法归档保存。</w:t>
      </w:r>
    </w:p>
    <w:p w14:paraId="3B831461">
      <w:pPr>
        <w:widowControl/>
        <w:spacing w:line="400" w:lineRule="exact"/>
      </w:pPr>
      <w:r>
        <w:rPr>
          <w:rFonts w:hint="eastAsia" w:ascii="宋体" w:hAnsi="宋体" w:cs="宋体"/>
          <w:b/>
          <w:kern w:val="0"/>
          <w:sz w:val="24"/>
          <w:shd w:val="clear" w:color="auto" w:fill="FFFFFF"/>
          <w:lang w:val="zh-CN"/>
        </w:rPr>
        <w:t xml:space="preserve">5、 </w:t>
      </w:r>
      <w:r>
        <w:rPr>
          <w:rFonts w:hint="eastAsia" w:ascii="宋体" w:hAnsi="宋体" w:cs="宋体"/>
          <w:b/>
          <w:bCs/>
          <w:color w:val="000000"/>
          <w:kern w:val="0"/>
          <w:sz w:val="24"/>
          <w:shd w:val="clear" w:color="auto" w:fill="FFFFFF"/>
        </w:rPr>
        <w:t>谈判</w:t>
      </w:r>
      <w:r>
        <w:rPr>
          <w:rFonts w:hint="eastAsia" w:ascii="宋体" w:hAnsi="宋体" w:cs="宋体"/>
          <w:b/>
          <w:kern w:val="0"/>
          <w:sz w:val="24"/>
          <w:shd w:val="clear" w:color="auto" w:fill="FFFFFF"/>
          <w:lang w:val="zh-CN"/>
        </w:rPr>
        <w:t xml:space="preserve">终止和撤销 </w:t>
      </w:r>
    </w:p>
    <w:p w14:paraId="65173AB7">
      <w:pPr>
        <w:widowControl/>
        <w:spacing w:line="400" w:lineRule="exact"/>
      </w:pPr>
      <w:r>
        <w:rPr>
          <w:rFonts w:hint="eastAsia" w:ascii="宋体" w:hAnsi="宋体" w:cs="宋体"/>
          <w:b/>
          <w:kern w:val="0"/>
          <w:sz w:val="24"/>
          <w:shd w:val="clear" w:color="auto" w:fill="FFFFFF"/>
          <w:lang w:val="zh-CN"/>
        </w:rPr>
        <w:t>5.1</w:t>
      </w:r>
      <w:r>
        <w:rPr>
          <w:rFonts w:hint="eastAsia" w:ascii="宋体" w:hAnsi="宋体" w:cs="宋体"/>
          <w:b/>
          <w:bCs/>
          <w:color w:val="000000"/>
          <w:kern w:val="0"/>
          <w:sz w:val="24"/>
          <w:shd w:val="clear" w:color="auto" w:fill="FFFFFF"/>
        </w:rPr>
        <w:t>谈判</w:t>
      </w:r>
      <w:r>
        <w:rPr>
          <w:rFonts w:hint="eastAsia" w:ascii="宋体" w:hAnsi="宋体" w:cs="宋体"/>
          <w:b/>
          <w:kern w:val="0"/>
          <w:sz w:val="24"/>
          <w:shd w:val="clear" w:color="auto" w:fill="FFFFFF"/>
          <w:lang w:val="zh-CN"/>
        </w:rPr>
        <w:t>终止</w:t>
      </w:r>
    </w:p>
    <w:p w14:paraId="3F2927F0">
      <w:pPr>
        <w:widowControl/>
        <w:spacing w:line="400" w:lineRule="exact"/>
      </w:pPr>
      <w:r>
        <w:rPr>
          <w:rFonts w:hint="eastAsia" w:ascii="宋体" w:hAnsi="宋体" w:cs="宋体"/>
          <w:kern w:val="0"/>
          <w:sz w:val="24"/>
          <w:shd w:val="clear" w:color="auto" w:fill="FFFFFF"/>
          <w:lang w:val="zh-CN"/>
        </w:rPr>
        <w:t>5.1.1因情况变化，不再符合规定的</w:t>
      </w:r>
      <w:r>
        <w:rPr>
          <w:rFonts w:hint="eastAsia" w:ascii="宋体" w:hAnsi="宋体" w:cs="宋体"/>
          <w:bCs/>
          <w:color w:val="000000"/>
          <w:kern w:val="0"/>
          <w:sz w:val="24"/>
          <w:shd w:val="clear" w:color="auto" w:fill="FFFFFF"/>
        </w:rPr>
        <w:t>谈判</w:t>
      </w:r>
      <w:r>
        <w:rPr>
          <w:rFonts w:hint="eastAsia" w:ascii="宋体" w:hAnsi="宋体" w:cs="宋体"/>
          <w:kern w:val="0"/>
          <w:sz w:val="24"/>
          <w:shd w:val="clear" w:color="auto" w:fill="FFFFFF"/>
          <w:lang w:val="zh-CN"/>
        </w:rPr>
        <w:t>采购方式适用情形的；</w:t>
      </w:r>
    </w:p>
    <w:p w14:paraId="70DBD6FB">
      <w:pPr>
        <w:widowControl/>
        <w:spacing w:line="400" w:lineRule="exact"/>
      </w:pPr>
      <w:r>
        <w:rPr>
          <w:rFonts w:hint="eastAsia" w:ascii="宋体" w:hAnsi="宋体" w:cs="宋体"/>
          <w:kern w:val="0"/>
          <w:sz w:val="24"/>
          <w:shd w:val="clear" w:color="auto" w:fill="FFFFFF"/>
          <w:lang w:val="zh-CN"/>
        </w:rPr>
        <w:t>5.1.2出现影响谈判采购公正的违法、违规行为的；</w:t>
      </w:r>
    </w:p>
    <w:p w14:paraId="1F3BB3CF">
      <w:pPr>
        <w:widowControl/>
        <w:spacing w:line="400" w:lineRule="exact"/>
      </w:pPr>
      <w:r>
        <w:rPr>
          <w:rFonts w:hint="eastAsia" w:ascii="宋体" w:hAnsi="宋体" w:cs="宋体"/>
          <w:kern w:val="0"/>
          <w:sz w:val="24"/>
          <w:shd w:val="clear" w:color="auto" w:fill="FFFFFF"/>
          <w:lang w:val="zh-CN"/>
        </w:rPr>
        <w:t>5.1.3供应商的报价均超过了采购预算，采购人不能支付的；</w:t>
      </w:r>
    </w:p>
    <w:p w14:paraId="463830C9">
      <w:pPr>
        <w:widowControl/>
        <w:spacing w:line="400" w:lineRule="exact"/>
      </w:pPr>
      <w:r>
        <w:rPr>
          <w:rFonts w:hint="eastAsia" w:ascii="宋体" w:hAnsi="宋体" w:cs="宋体"/>
          <w:kern w:val="0"/>
          <w:sz w:val="24"/>
          <w:shd w:val="clear" w:color="auto" w:fill="FFFFFF"/>
          <w:lang w:val="zh-CN"/>
        </w:rPr>
        <w:t>5.1.4在谈判采购过程中符合竞争要求的供应商或者报价未超过采购预算的供应商不足3家的。</w:t>
      </w:r>
    </w:p>
    <w:p w14:paraId="06FAD0BA">
      <w:pPr>
        <w:widowControl/>
        <w:spacing w:line="400" w:lineRule="exact"/>
        <w:jc w:val="left"/>
      </w:pPr>
      <w:r>
        <w:rPr>
          <w:rFonts w:hint="eastAsia" w:ascii="宋体" w:hAnsi="宋体" w:cs="宋体"/>
          <w:b/>
          <w:color w:val="000000"/>
          <w:kern w:val="0"/>
          <w:sz w:val="24"/>
          <w:shd w:val="clear" w:color="auto" w:fill="FFFFFF"/>
        </w:rPr>
        <w:t>5.2</w:t>
      </w:r>
      <w:r>
        <w:rPr>
          <w:rFonts w:hint="eastAsia" w:ascii="宋体" w:hAnsi="宋体" w:cs="宋体"/>
          <w:b/>
          <w:bCs/>
          <w:color w:val="000000"/>
          <w:kern w:val="0"/>
          <w:sz w:val="24"/>
          <w:shd w:val="clear" w:color="auto" w:fill="FFFFFF"/>
        </w:rPr>
        <w:t>谈判</w:t>
      </w:r>
      <w:r>
        <w:rPr>
          <w:rFonts w:hint="eastAsia" w:ascii="宋体" w:hAnsi="宋体" w:cs="宋体"/>
          <w:b/>
          <w:color w:val="000000"/>
          <w:kern w:val="0"/>
          <w:sz w:val="24"/>
          <w:shd w:val="clear" w:color="auto" w:fill="FFFFFF"/>
        </w:rPr>
        <w:t>撤销</w:t>
      </w:r>
    </w:p>
    <w:p w14:paraId="27763DF9">
      <w:pPr>
        <w:widowControl/>
        <w:spacing w:line="400" w:lineRule="exact"/>
        <w:jc w:val="left"/>
      </w:pPr>
      <w:r>
        <w:rPr>
          <w:rFonts w:hint="eastAsia" w:ascii="宋体" w:hAnsi="宋体" w:cs="宋体"/>
          <w:kern w:val="0"/>
          <w:sz w:val="24"/>
          <w:shd w:val="clear" w:color="auto" w:fill="FFFFFF"/>
        </w:rPr>
        <w:t>5.2.1在成交结果公告之前的任何时候，由于不可抗力或</w:t>
      </w:r>
      <w:r>
        <w:rPr>
          <w:rFonts w:hint="eastAsia" w:ascii="宋体" w:hAnsi="宋体" w:cs="宋体"/>
          <w:kern w:val="0"/>
          <w:sz w:val="24"/>
          <w:shd w:val="clear" w:color="auto" w:fill="FFFFFF"/>
          <w:lang w:val="zh-CN"/>
        </w:rPr>
        <w:t>因重大变故采购任务取消的，</w:t>
      </w:r>
      <w:r>
        <w:rPr>
          <w:rFonts w:hint="eastAsia" w:ascii="宋体" w:hAnsi="宋体" w:cs="宋体"/>
          <w:kern w:val="0"/>
          <w:sz w:val="24"/>
          <w:shd w:val="clear" w:color="auto" w:fill="FFFFFF"/>
        </w:rPr>
        <w:t>采购人、采购代理机构可以通过法定或规定的程序，有权拒绝任何报价或宣布</w:t>
      </w:r>
      <w:r>
        <w:rPr>
          <w:rFonts w:hint="eastAsia" w:ascii="宋体" w:hAnsi="宋体" w:cs="宋体"/>
          <w:bCs/>
          <w:kern w:val="0"/>
          <w:sz w:val="24"/>
          <w:shd w:val="clear" w:color="auto" w:fill="FFFFFF"/>
        </w:rPr>
        <w:t>谈判</w:t>
      </w:r>
      <w:r>
        <w:rPr>
          <w:rFonts w:hint="eastAsia" w:ascii="宋体" w:hAnsi="宋体" w:cs="宋体"/>
          <w:kern w:val="0"/>
          <w:sz w:val="24"/>
          <w:shd w:val="clear" w:color="auto" w:fill="FFFFFF"/>
        </w:rPr>
        <w:t>撤销。</w:t>
      </w:r>
    </w:p>
    <w:p w14:paraId="7D1D0028">
      <w:pPr>
        <w:widowControl/>
        <w:spacing w:line="400" w:lineRule="exact"/>
      </w:pPr>
      <w:r>
        <w:rPr>
          <w:b/>
          <w:kern w:val="0"/>
          <w:sz w:val="24"/>
          <w:shd w:val="clear" w:color="auto" w:fill="FFFFFF"/>
        </w:rPr>
        <w:t>6</w:t>
      </w:r>
      <w:r>
        <w:rPr>
          <w:rFonts w:hint="eastAsia" w:hAnsi="宋体" w:cs="宋体"/>
          <w:b/>
          <w:kern w:val="0"/>
          <w:sz w:val="24"/>
          <w:shd w:val="clear" w:color="auto" w:fill="FFFFFF"/>
        </w:rPr>
        <w:t>、报价要求</w:t>
      </w:r>
    </w:p>
    <w:p w14:paraId="52682E64">
      <w:pPr>
        <w:widowControl/>
        <w:spacing w:line="400" w:lineRule="exact"/>
      </w:pPr>
      <w:r>
        <w:rPr>
          <w:rFonts w:hint="eastAsia" w:ascii="宋体" w:hAnsi="宋体" w:cs="宋体"/>
          <w:color w:val="000000"/>
          <w:kern w:val="0"/>
          <w:sz w:val="24"/>
          <w:shd w:val="clear" w:color="auto" w:fill="FFFFFF"/>
        </w:rPr>
        <w:t>6.1报价为采购人指定地点的交货含税价，包括货物、随配附件、备品备件、工具、运抵指定交货地点费用、安装调试、税金及其他所有费用的总和；</w:t>
      </w:r>
    </w:p>
    <w:p w14:paraId="49F062CB">
      <w:pPr>
        <w:widowControl/>
        <w:spacing w:line="400" w:lineRule="exact"/>
      </w:pPr>
      <w:r>
        <w:rPr>
          <w:rFonts w:hint="eastAsia" w:ascii="宋体" w:hAnsi="宋体" w:cs="宋体"/>
          <w:color w:val="000000"/>
          <w:kern w:val="0"/>
          <w:sz w:val="24"/>
          <w:shd w:val="clear" w:color="auto" w:fill="FFFFFF"/>
        </w:rPr>
        <w:t>6.2 供应商应按上述条款的要求填写谈判报价，此报价作为采购方确定成交供应商的标准，但不限制买方以其它方式签订合同的权力。</w:t>
      </w:r>
    </w:p>
    <w:p w14:paraId="71DF1289">
      <w:pPr>
        <w:widowControl/>
        <w:spacing w:line="400" w:lineRule="exact"/>
      </w:pPr>
      <w:r>
        <w:rPr>
          <w:rFonts w:hint="eastAsia" w:ascii="宋体" w:hAnsi="宋体" w:cs="宋体"/>
          <w:b/>
          <w:kern w:val="0"/>
          <w:sz w:val="24"/>
          <w:shd w:val="clear" w:color="auto" w:fill="FFFFFF"/>
        </w:rPr>
        <w:t>7、谈判保证金</w:t>
      </w:r>
    </w:p>
    <w:p w14:paraId="68E227EC">
      <w:pPr>
        <w:widowControl/>
        <w:spacing w:line="400" w:lineRule="exact"/>
      </w:pPr>
      <w:r>
        <w:rPr>
          <w:rFonts w:hint="eastAsia" w:ascii="宋体" w:hAnsi="宋体" w:cs="宋体"/>
          <w:kern w:val="0"/>
          <w:sz w:val="24"/>
          <w:shd w:val="clear" w:color="auto" w:fill="FFFFFF"/>
        </w:rPr>
        <w:t>7.1项目谈判保证金的交存金额及方式详见本谈判文件 第一章 谈判邀请。</w:t>
      </w:r>
    </w:p>
    <w:p w14:paraId="2B5EA9D2">
      <w:pPr>
        <w:widowControl/>
        <w:spacing w:line="400" w:lineRule="exact"/>
      </w:pPr>
      <w:r>
        <w:rPr>
          <w:rFonts w:hint="eastAsia" w:ascii="宋体" w:hAnsi="宋体" w:cs="宋体"/>
          <w:b/>
          <w:kern w:val="0"/>
          <w:sz w:val="24"/>
          <w:shd w:val="clear" w:color="auto" w:fill="FFFFFF"/>
        </w:rPr>
        <w:t>7.2 下列任何情况发生时，谈判保证金将不予退还</w:t>
      </w:r>
      <w:r>
        <w:rPr>
          <w:rFonts w:hint="eastAsia" w:ascii="宋体" w:hAnsi="宋体" w:cs="宋体"/>
          <w:kern w:val="0"/>
          <w:sz w:val="24"/>
          <w:shd w:val="clear" w:color="auto" w:fill="FFFFFF"/>
        </w:rPr>
        <w:t xml:space="preserve">： </w:t>
      </w:r>
    </w:p>
    <w:p w14:paraId="41763198">
      <w:pPr>
        <w:widowControl/>
        <w:spacing w:line="400" w:lineRule="exact"/>
      </w:pPr>
      <w:r>
        <w:rPr>
          <w:rFonts w:hint="eastAsia" w:ascii="宋体" w:hAnsi="宋体" w:cs="宋体"/>
          <w:kern w:val="0"/>
          <w:sz w:val="24"/>
          <w:shd w:val="clear" w:color="auto" w:fill="FFFFFF"/>
        </w:rPr>
        <w:t xml:space="preserve">7.2.1供应商在提交谈判响应文件截止时间后撤回谈判响应文件的； </w:t>
      </w:r>
    </w:p>
    <w:p w14:paraId="77B399B6">
      <w:pPr>
        <w:widowControl/>
        <w:spacing w:line="400" w:lineRule="exact"/>
      </w:pPr>
      <w:r>
        <w:rPr>
          <w:rFonts w:hint="eastAsia" w:ascii="宋体" w:hAnsi="宋体" w:cs="宋体"/>
          <w:kern w:val="0"/>
          <w:sz w:val="24"/>
          <w:shd w:val="clear" w:color="auto" w:fill="FFFFFF"/>
        </w:rPr>
        <w:t>7.2.2供应商在响应文件中提供虚假材料的；</w:t>
      </w:r>
    </w:p>
    <w:p w14:paraId="28335F3D">
      <w:pPr>
        <w:widowControl/>
        <w:spacing w:line="400" w:lineRule="exact"/>
      </w:pPr>
      <w:r>
        <w:rPr>
          <w:rFonts w:hint="eastAsia" w:ascii="宋体" w:hAnsi="宋体" w:cs="宋体"/>
          <w:kern w:val="0"/>
          <w:sz w:val="24"/>
          <w:shd w:val="clear" w:color="auto" w:fill="FFFFFF"/>
        </w:rPr>
        <w:t>7.2.3除因不可抗力或谈判文件认可的情形以外，</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 xml:space="preserve">不与采购人签订合同的； </w:t>
      </w:r>
    </w:p>
    <w:p w14:paraId="34E994FB">
      <w:pPr>
        <w:widowControl/>
        <w:spacing w:line="400" w:lineRule="exact"/>
      </w:pPr>
      <w:r>
        <w:rPr>
          <w:rFonts w:hint="eastAsia" w:ascii="宋体" w:hAnsi="宋体" w:cs="宋体"/>
          <w:kern w:val="0"/>
          <w:sz w:val="24"/>
          <w:shd w:val="clear" w:color="auto" w:fill="FFFFFF"/>
        </w:rPr>
        <w:t>7.2.4供应商与采购人、其他供应商或者采购代理机构恶意串通的；</w:t>
      </w:r>
    </w:p>
    <w:p w14:paraId="3C3A5C9B">
      <w:pPr>
        <w:widowControl/>
        <w:spacing w:line="400" w:lineRule="exact"/>
      </w:pPr>
      <w:r>
        <w:rPr>
          <w:rFonts w:hint="eastAsia" w:ascii="宋体" w:hAnsi="宋体" w:cs="宋体"/>
          <w:kern w:val="0"/>
          <w:sz w:val="24"/>
          <w:shd w:val="clear" w:color="auto" w:fill="FFFFFF"/>
        </w:rPr>
        <w:t xml:space="preserve">7.2.5将成交项目转让给他人，或者在谈判响应文件中未说明，且未经采购单位同意，将成交项目分包给他人的； </w:t>
      </w:r>
    </w:p>
    <w:p w14:paraId="7A11AE64">
      <w:pPr>
        <w:widowControl/>
        <w:spacing w:line="400" w:lineRule="exact"/>
      </w:pPr>
      <w:r>
        <w:rPr>
          <w:rFonts w:hint="eastAsia" w:ascii="宋体" w:hAnsi="宋体" w:cs="宋体"/>
          <w:kern w:val="0"/>
          <w:sz w:val="24"/>
          <w:shd w:val="clear" w:color="auto" w:fill="FFFFFF"/>
        </w:rPr>
        <w:t>7.2.6拒绝履行合同义务的。</w:t>
      </w:r>
    </w:p>
    <w:p w14:paraId="13596559">
      <w:pPr>
        <w:widowControl/>
        <w:spacing w:line="400" w:lineRule="exact"/>
      </w:pPr>
      <w:r>
        <w:rPr>
          <w:b/>
          <w:kern w:val="0"/>
          <w:sz w:val="24"/>
          <w:shd w:val="clear" w:color="auto" w:fill="FFFFFF"/>
        </w:rPr>
        <w:t>8</w:t>
      </w:r>
      <w:r>
        <w:rPr>
          <w:rFonts w:hint="eastAsia" w:hAnsi="宋体" w:cs="宋体"/>
          <w:b/>
          <w:kern w:val="0"/>
          <w:sz w:val="24"/>
          <w:shd w:val="clear" w:color="auto" w:fill="FFFFFF"/>
        </w:rPr>
        <w:t>、谈判的组织和程序</w:t>
      </w:r>
    </w:p>
    <w:p w14:paraId="48FFE3D1">
      <w:pPr>
        <w:widowControl/>
        <w:adjustRightInd w:val="0"/>
        <w:spacing w:line="400" w:lineRule="exact"/>
      </w:pPr>
      <w:r>
        <w:rPr>
          <w:rFonts w:hint="eastAsia" w:ascii="宋体" w:hAnsi="宋体" w:cs="宋体"/>
          <w:color w:val="000000"/>
          <w:kern w:val="0"/>
          <w:sz w:val="24"/>
          <w:shd w:val="clear" w:color="auto" w:fill="FFFFFF"/>
        </w:rPr>
        <w:t>（一） 谈判的组织</w:t>
      </w:r>
    </w:p>
    <w:p w14:paraId="65300456">
      <w:pPr>
        <w:widowControl/>
        <w:adjustRightInd w:val="0"/>
        <w:spacing w:line="400" w:lineRule="exact"/>
        <w:ind w:firstLine="448" w:firstLineChars="200"/>
      </w:pPr>
      <w:r>
        <w:rPr>
          <w:rFonts w:hint="eastAsia" w:ascii="宋体" w:hAnsi="宋体" w:cs="宋体"/>
          <w:spacing w:val="-8"/>
          <w:kern w:val="0"/>
          <w:sz w:val="24"/>
          <w:shd w:val="clear" w:color="auto" w:fill="FFFFFF"/>
          <w:lang w:val="zh-CN"/>
        </w:rPr>
        <w:t>（1）本次谈判按照政府采购的有关规定，严格遵守公开、公平、公正和诚实信用原则，由随机抽取的政府采购专家独立行使评审权。</w:t>
      </w:r>
    </w:p>
    <w:p w14:paraId="14B602F5">
      <w:pPr>
        <w:widowControl/>
        <w:adjustRightInd w:val="0"/>
        <w:spacing w:line="400" w:lineRule="exact"/>
        <w:ind w:firstLine="448" w:firstLineChars="200"/>
      </w:pPr>
      <w:r>
        <w:rPr>
          <w:rFonts w:hint="eastAsia" w:ascii="宋体" w:hAnsi="宋体" w:cs="宋体"/>
          <w:spacing w:val="-8"/>
          <w:kern w:val="0"/>
          <w:sz w:val="24"/>
          <w:shd w:val="clear" w:color="auto" w:fill="FFFFFF"/>
          <w:lang w:val="zh-CN"/>
        </w:rPr>
        <w:t>（2）谈判小组由采购人代表及相关专家3人以上单数组成，如</w:t>
      </w:r>
      <w:r>
        <w:rPr>
          <w:rFonts w:hint="eastAsia" w:ascii="宋体" w:hAnsi="宋体" w:cs="宋体"/>
          <w:kern w:val="0"/>
          <w:sz w:val="24"/>
          <w:shd w:val="clear" w:color="auto" w:fill="FFFFFF"/>
        </w:rPr>
        <w:t>供应商</w:t>
      </w:r>
      <w:r>
        <w:rPr>
          <w:rFonts w:hint="eastAsia" w:ascii="宋体" w:hAnsi="宋体" w:cs="宋体"/>
          <w:spacing w:val="-8"/>
          <w:kern w:val="0"/>
          <w:sz w:val="24"/>
          <w:shd w:val="clear" w:color="auto" w:fill="FFFFFF"/>
          <w:lang w:val="zh-CN"/>
        </w:rPr>
        <w:t>认为谈判小组、采购人代表或相关人员与其他</w:t>
      </w:r>
      <w:r>
        <w:rPr>
          <w:rFonts w:hint="eastAsia" w:ascii="宋体" w:hAnsi="宋体" w:cs="宋体"/>
          <w:kern w:val="0"/>
          <w:sz w:val="24"/>
          <w:shd w:val="clear" w:color="auto" w:fill="FFFFFF"/>
        </w:rPr>
        <w:t>供应商</w:t>
      </w:r>
      <w:r>
        <w:rPr>
          <w:rFonts w:hint="eastAsia" w:ascii="宋体" w:hAnsi="宋体" w:cs="宋体"/>
          <w:spacing w:val="-8"/>
          <w:kern w:val="0"/>
          <w:sz w:val="24"/>
          <w:shd w:val="clear" w:color="auto" w:fill="FFFFFF"/>
          <w:lang w:val="zh-CN"/>
        </w:rPr>
        <w:t>有利害关系的，可以申请其回避。</w:t>
      </w:r>
    </w:p>
    <w:p w14:paraId="7DE69B9E">
      <w:pPr>
        <w:widowControl/>
        <w:adjustRightInd w:val="0"/>
        <w:spacing w:line="400" w:lineRule="exact"/>
        <w:ind w:firstLine="448" w:firstLineChars="200"/>
      </w:pPr>
      <w:r>
        <w:rPr>
          <w:rFonts w:hint="eastAsia" w:ascii="宋体" w:hAnsi="宋体" w:cs="宋体"/>
          <w:spacing w:val="-8"/>
          <w:kern w:val="0"/>
          <w:sz w:val="24"/>
          <w:shd w:val="clear" w:color="auto" w:fill="FFFFFF"/>
          <w:lang w:val="zh-CN"/>
        </w:rPr>
        <w:t>（3）</w:t>
      </w:r>
      <w:r>
        <w:rPr>
          <w:rFonts w:hint="eastAsia" w:ascii="宋体" w:hAnsi="宋体" w:cs="宋体"/>
          <w:color w:val="000000"/>
          <w:kern w:val="0"/>
          <w:sz w:val="24"/>
          <w:shd w:val="clear" w:color="auto" w:fill="FFFFFF"/>
        </w:rPr>
        <w:t>谈判小组将依照采购法规和谈判文件的规定与合格</w:t>
      </w:r>
      <w:r>
        <w:rPr>
          <w:rFonts w:hint="eastAsia" w:ascii="宋体" w:hAnsi="宋体" w:cs="宋体"/>
          <w:kern w:val="0"/>
          <w:sz w:val="24"/>
          <w:shd w:val="clear" w:color="auto" w:fill="FFFFFF"/>
        </w:rPr>
        <w:t>供应商</w:t>
      </w:r>
      <w:r>
        <w:rPr>
          <w:rFonts w:hint="eastAsia" w:ascii="宋体" w:hAnsi="宋体" w:cs="宋体"/>
          <w:color w:val="000000"/>
          <w:kern w:val="0"/>
          <w:sz w:val="24"/>
          <w:shd w:val="clear" w:color="auto" w:fill="FFFFFF"/>
        </w:rPr>
        <w:t>进行谈判，并对最终形成的报价文件和谈判结果进行详细评审，出具评审报告。</w:t>
      </w:r>
    </w:p>
    <w:p w14:paraId="2110CF7A">
      <w:pPr>
        <w:widowControl/>
        <w:adjustRightInd w:val="0"/>
        <w:spacing w:line="400" w:lineRule="exact"/>
        <w:ind w:firstLine="480" w:firstLineChars="200"/>
      </w:pPr>
      <w:r>
        <w:rPr>
          <w:rFonts w:hint="eastAsia" w:ascii="宋体" w:hAnsi="宋体" w:cs="宋体"/>
          <w:color w:val="000000"/>
          <w:kern w:val="0"/>
          <w:sz w:val="24"/>
          <w:shd w:val="clear" w:color="auto" w:fill="FFFFFF"/>
        </w:rPr>
        <w:t>（4）</w:t>
      </w:r>
      <w:r>
        <w:rPr>
          <w:rFonts w:hint="eastAsia" w:ascii="宋体" w:hAnsi="宋体" w:cs="宋体"/>
          <w:spacing w:val="-8"/>
          <w:kern w:val="0"/>
          <w:sz w:val="24"/>
          <w:shd w:val="clear" w:color="auto" w:fill="FFFFFF"/>
          <w:lang w:val="zh-CN"/>
        </w:rPr>
        <w:t>谈判小组</w:t>
      </w:r>
      <w:r>
        <w:rPr>
          <w:rFonts w:hint="eastAsia" w:ascii="宋体" w:hAnsi="宋体" w:cs="宋体"/>
          <w:bCs/>
          <w:color w:val="000000"/>
          <w:kern w:val="0"/>
          <w:sz w:val="24"/>
          <w:shd w:val="clear" w:color="auto" w:fill="FFFFFF"/>
        </w:rPr>
        <w:t>有拒绝报价的权利。</w:t>
      </w:r>
      <w:r>
        <w:rPr>
          <w:rFonts w:hint="eastAsia" w:ascii="宋体" w:hAnsi="宋体" w:cs="宋体"/>
          <w:spacing w:val="-8"/>
          <w:kern w:val="0"/>
          <w:sz w:val="24"/>
          <w:shd w:val="clear" w:color="auto" w:fill="FFFFFF"/>
          <w:lang w:val="zh-CN"/>
        </w:rPr>
        <w:t>谈判小组</w:t>
      </w:r>
      <w:r>
        <w:rPr>
          <w:rFonts w:hint="eastAsia" w:ascii="宋体" w:hAnsi="宋体" w:cs="宋体"/>
          <w:color w:val="000000"/>
          <w:kern w:val="0"/>
          <w:sz w:val="24"/>
          <w:shd w:val="clear" w:color="auto" w:fill="FFFFFF"/>
        </w:rPr>
        <w:t>经评审，认为所有报价都不符合谈判文件要求的，可以否决所有报价。</w:t>
      </w:r>
    </w:p>
    <w:p w14:paraId="77A20D5A">
      <w:pPr>
        <w:widowControl/>
        <w:adjustRightInd w:val="0"/>
        <w:spacing w:line="400" w:lineRule="exact"/>
        <w:ind w:firstLine="480" w:firstLineChars="200"/>
      </w:pPr>
      <w:r>
        <w:rPr>
          <w:rFonts w:hint="eastAsia" w:ascii="宋体" w:hAnsi="宋体" w:cs="宋体"/>
          <w:bCs/>
          <w:color w:val="000000"/>
          <w:kern w:val="0"/>
          <w:sz w:val="24"/>
          <w:shd w:val="clear" w:color="auto" w:fill="FFFFFF"/>
        </w:rPr>
        <w:t xml:space="preserve">（5） </w:t>
      </w:r>
      <w:r>
        <w:rPr>
          <w:rFonts w:hint="eastAsia" w:ascii="宋体" w:hAnsi="宋体" w:cs="宋体"/>
          <w:color w:val="000000"/>
          <w:kern w:val="0"/>
          <w:sz w:val="24"/>
          <w:shd w:val="clear" w:color="auto" w:fill="FFFFFF"/>
        </w:rPr>
        <w:t>在谈判中，谈判的任何一方不得透露与谈判有关的其他</w:t>
      </w:r>
      <w:r>
        <w:rPr>
          <w:rFonts w:hint="eastAsia" w:ascii="宋体" w:hAnsi="宋体" w:cs="宋体"/>
          <w:kern w:val="0"/>
          <w:sz w:val="24"/>
          <w:shd w:val="clear" w:color="auto" w:fill="FFFFFF"/>
        </w:rPr>
        <w:t>供应商</w:t>
      </w:r>
      <w:r>
        <w:rPr>
          <w:rFonts w:hint="eastAsia" w:ascii="宋体" w:hAnsi="宋体" w:cs="宋体"/>
          <w:color w:val="000000"/>
          <w:kern w:val="0"/>
          <w:sz w:val="24"/>
          <w:shd w:val="clear" w:color="auto" w:fill="FFFFFF"/>
        </w:rPr>
        <w:t>的技术资料、报价和其他信息（谈判文件有实质性变动的，谈判小组以书面的形式通知所有参加谈判的</w:t>
      </w:r>
      <w:r>
        <w:rPr>
          <w:rFonts w:hint="eastAsia" w:ascii="宋体" w:hAnsi="宋体" w:cs="宋体"/>
          <w:kern w:val="0"/>
          <w:sz w:val="24"/>
          <w:shd w:val="clear" w:color="auto" w:fill="FFFFFF"/>
        </w:rPr>
        <w:t>供应商</w:t>
      </w:r>
      <w:r>
        <w:rPr>
          <w:rFonts w:hint="eastAsia" w:ascii="宋体" w:hAnsi="宋体" w:cs="宋体"/>
          <w:color w:val="000000"/>
          <w:kern w:val="0"/>
          <w:sz w:val="24"/>
          <w:shd w:val="clear" w:color="auto" w:fill="FFFFFF"/>
        </w:rPr>
        <w:t>）。</w:t>
      </w:r>
    </w:p>
    <w:p w14:paraId="1E27EA47">
      <w:pPr>
        <w:widowControl/>
        <w:adjustRightInd w:val="0"/>
        <w:spacing w:line="400" w:lineRule="exact"/>
      </w:pPr>
      <w:r>
        <w:rPr>
          <w:rFonts w:hint="eastAsia" w:ascii="宋体" w:hAnsi="宋体" w:cs="宋体"/>
          <w:kern w:val="0"/>
          <w:sz w:val="24"/>
          <w:shd w:val="clear" w:color="auto" w:fill="FFFFFF"/>
          <w:lang w:val="zh-CN"/>
        </w:rPr>
        <w:t>（二）谈判的主要程序</w:t>
      </w:r>
    </w:p>
    <w:p w14:paraId="2D59AFCF">
      <w:pPr>
        <w:widowControl/>
        <w:adjustRightInd w:val="0"/>
        <w:spacing w:line="400" w:lineRule="exact"/>
        <w:ind w:firstLine="480" w:firstLineChars="200"/>
      </w:pPr>
      <w:r>
        <w:rPr>
          <w:rFonts w:hint="eastAsia" w:ascii="宋体" w:hAnsi="宋体" w:cs="宋体"/>
          <w:kern w:val="0"/>
          <w:sz w:val="24"/>
          <w:shd w:val="clear" w:color="auto" w:fill="FFFFFF"/>
        </w:rPr>
        <w:t>（1）谈判排序</w:t>
      </w:r>
    </w:p>
    <w:p w14:paraId="5CC6E00A">
      <w:pPr>
        <w:widowControl/>
        <w:adjustRightInd w:val="0"/>
        <w:spacing w:line="400" w:lineRule="exact"/>
        <w:ind w:firstLine="480" w:firstLineChars="200"/>
      </w:pPr>
      <w:r>
        <w:rPr>
          <w:rFonts w:hint="eastAsia" w:ascii="宋体" w:hAnsi="宋体" w:cs="宋体"/>
          <w:kern w:val="0"/>
          <w:sz w:val="24"/>
          <w:shd w:val="clear" w:color="auto" w:fill="FFFFFF"/>
        </w:rPr>
        <w:t>谈判小组以随机抽签或其他的形式确定供应商参加符合性检查和分别谈判的出场顺序。</w:t>
      </w:r>
    </w:p>
    <w:p w14:paraId="16C6A0F8">
      <w:pPr>
        <w:widowControl/>
        <w:spacing w:line="400" w:lineRule="exact"/>
        <w:ind w:firstLine="480" w:firstLineChars="200"/>
      </w:pPr>
      <w:r>
        <w:rPr>
          <w:rFonts w:hint="eastAsia" w:ascii="宋体" w:hAnsi="宋体" w:cs="宋体"/>
          <w:kern w:val="0"/>
          <w:sz w:val="24"/>
          <w:shd w:val="clear" w:color="auto" w:fill="FFFFFF"/>
        </w:rPr>
        <w:t>（2）资格性检查。</w:t>
      </w:r>
    </w:p>
    <w:p w14:paraId="1CEB9ADD">
      <w:pPr>
        <w:widowControl/>
        <w:spacing w:line="400" w:lineRule="exact"/>
        <w:ind w:firstLine="600" w:firstLineChars="250"/>
      </w:pPr>
      <w:r>
        <w:rPr>
          <w:rFonts w:hint="eastAsia" w:ascii="宋体" w:hAnsi="宋体" w:cs="宋体"/>
          <w:kern w:val="0"/>
          <w:sz w:val="24"/>
          <w:shd w:val="clear" w:color="auto" w:fill="FFFFFF"/>
        </w:rPr>
        <w:t>①依据法律法规和谈判文件的规定，对供应商的资格证明材料进行审查，以确定供应商是否具备谈判资格。资格性检查的资料及提供方式</w:t>
      </w:r>
      <w:r>
        <w:rPr>
          <w:rFonts w:hint="eastAsia" w:hAnsi="宋体" w:cs="宋体"/>
          <w:kern w:val="0"/>
          <w:sz w:val="24"/>
          <w:shd w:val="clear" w:color="auto" w:fill="FFFFFF"/>
        </w:rPr>
        <w:t>详见本谈判文件第三章</w:t>
      </w:r>
      <w:r>
        <w:rPr>
          <w:rFonts w:hint="eastAsia" w:ascii="宋体" w:hAnsi="宋体" w:cs="宋体"/>
          <w:kern w:val="0"/>
          <w:sz w:val="24"/>
          <w:shd w:val="clear" w:color="auto" w:fill="FFFFFF"/>
        </w:rPr>
        <w:t>项目采购需求。</w:t>
      </w:r>
    </w:p>
    <w:p w14:paraId="7BB5C8E2">
      <w:pPr>
        <w:widowControl/>
        <w:spacing w:line="400" w:lineRule="exact"/>
        <w:ind w:firstLine="600" w:firstLineChars="250"/>
      </w:pPr>
      <w:r>
        <w:rPr>
          <w:rFonts w:hint="eastAsia" w:ascii="宋体" w:hAnsi="宋体" w:cs="宋体"/>
          <w:kern w:val="0"/>
          <w:sz w:val="24"/>
          <w:shd w:val="clear" w:color="auto" w:fill="FFFFFF"/>
        </w:rPr>
        <w:t>②供应商出现下列情况之一的，不能通过资格性检查：</w:t>
      </w:r>
    </w:p>
    <w:p w14:paraId="1006A65C">
      <w:pPr>
        <w:widowControl/>
        <w:spacing w:line="400" w:lineRule="exact"/>
        <w:ind w:firstLine="480" w:firstLineChars="200"/>
      </w:pPr>
      <w:r>
        <w:rPr>
          <w:rFonts w:hint="eastAsia" w:ascii="宋体" w:hAnsi="宋体" w:cs="宋体"/>
          <w:kern w:val="0"/>
          <w:sz w:val="24"/>
          <w:shd w:val="clear" w:color="auto" w:fill="FFFFFF"/>
        </w:rPr>
        <w:t>A.未能按照要求提供供应商资格证明材料的；</w:t>
      </w:r>
    </w:p>
    <w:p w14:paraId="3651093B">
      <w:pPr>
        <w:widowControl/>
        <w:spacing w:line="400" w:lineRule="exact"/>
        <w:ind w:firstLine="480" w:firstLineChars="200"/>
      </w:pPr>
      <w:r>
        <w:rPr>
          <w:rFonts w:hint="eastAsia" w:ascii="宋体" w:hAnsi="宋体" w:cs="宋体"/>
          <w:kern w:val="0"/>
          <w:sz w:val="24"/>
          <w:shd w:val="clear" w:color="auto" w:fill="FFFFFF"/>
        </w:rPr>
        <w:t>B.供应商谈判代表不能出示本人有效身份证件的；</w:t>
      </w:r>
    </w:p>
    <w:p w14:paraId="1A51938A">
      <w:pPr>
        <w:widowControl/>
        <w:spacing w:line="400" w:lineRule="exact"/>
        <w:ind w:firstLine="480" w:firstLineChars="200"/>
      </w:pPr>
      <w:r>
        <w:rPr>
          <w:rFonts w:hint="eastAsia" w:ascii="宋体" w:hAnsi="宋体" w:cs="宋体"/>
          <w:kern w:val="0"/>
          <w:sz w:val="24"/>
          <w:shd w:val="clear" w:color="auto" w:fill="FFFFFF"/>
        </w:rPr>
        <w:t>C.供应商未能按照要求交存谈判保证金的；</w:t>
      </w:r>
    </w:p>
    <w:p w14:paraId="33BF48E0">
      <w:pPr>
        <w:widowControl/>
        <w:spacing w:line="400" w:lineRule="exact"/>
        <w:ind w:firstLine="480" w:firstLineChars="200"/>
      </w:pPr>
      <w:r>
        <w:rPr>
          <w:rFonts w:hint="eastAsia" w:ascii="宋体" w:hAnsi="宋体" w:cs="宋体"/>
          <w:kern w:val="0"/>
          <w:sz w:val="24"/>
          <w:shd w:val="clear" w:color="auto" w:fill="FFFFFF"/>
        </w:rPr>
        <w:t>D.参加谈判的供应商名称与报名供应商的名称不相符，供应商代表不能提供合理解释的；</w:t>
      </w:r>
    </w:p>
    <w:p w14:paraId="7C9A5AB6">
      <w:pPr>
        <w:widowControl/>
        <w:adjustRightInd w:val="0"/>
        <w:spacing w:line="400" w:lineRule="exact"/>
        <w:ind w:firstLine="480" w:firstLineChars="200"/>
      </w:pPr>
      <w:r>
        <w:rPr>
          <w:rFonts w:hint="eastAsia" w:ascii="宋体" w:hAnsi="宋体" w:cs="宋体"/>
          <w:kern w:val="0"/>
          <w:sz w:val="24"/>
          <w:shd w:val="clear" w:color="auto" w:fill="FFFFFF"/>
        </w:rPr>
        <w:t>E.谈判小组认为不能通过资格性检查的其它情况。</w:t>
      </w:r>
    </w:p>
    <w:p w14:paraId="06DAA6D5">
      <w:pPr>
        <w:widowControl/>
        <w:adjustRightInd w:val="0"/>
        <w:spacing w:line="400" w:lineRule="exact"/>
        <w:ind w:firstLine="480" w:firstLineChars="200"/>
      </w:pPr>
      <w:r>
        <w:rPr>
          <w:rFonts w:hint="eastAsia" w:ascii="宋体" w:hAnsi="宋体" w:cs="宋体"/>
          <w:kern w:val="0"/>
          <w:sz w:val="24"/>
          <w:shd w:val="clear" w:color="auto" w:fill="FFFFFF"/>
        </w:rPr>
        <w:t>（3）符合性检查</w:t>
      </w:r>
    </w:p>
    <w:p w14:paraId="0B64FBF0">
      <w:pPr>
        <w:widowControl/>
        <w:adjustRightInd w:val="0"/>
        <w:spacing w:line="400" w:lineRule="exact"/>
        <w:ind w:firstLine="480" w:firstLineChars="200"/>
      </w:pPr>
      <w:r>
        <w:rPr>
          <w:rFonts w:hint="eastAsia" w:ascii="宋体" w:hAnsi="宋体" w:cs="宋体"/>
          <w:kern w:val="0"/>
          <w:sz w:val="24"/>
          <w:shd w:val="clear" w:color="auto" w:fill="FFFFFF"/>
        </w:rPr>
        <w:t>A.谈判小组依据竞争性谈判文件的规定，从谈判供应商递交响应性文件的有效性、完整性和对谈判文件的响应程度进行审查，以确定是否对竞争性谈判文件的实质性要求作出响应。实质性响应是指：无实质性偏离、反对、设定条件或提出保留，与谈判文件要求的全部实质性条款、条件和规格相符。实质性偏离是指：实质性影响合同的范围、质量和履行；实质性违背谈判文件，限制了买方的权利和成交人合同项下的义务；不公正地影响了其它作出实质性响应的谈判供应商的竞争地位。</w:t>
      </w:r>
      <w:r>
        <w:rPr>
          <w:rFonts w:hint="eastAsia" w:ascii="宋体" w:hAnsi="宋体" w:cs="宋体"/>
          <w:kern w:val="0"/>
          <w:sz w:val="24"/>
          <w:shd w:val="clear" w:color="auto" w:fill="FFFFFF"/>
          <w:lang w:val="zh-CN"/>
        </w:rPr>
        <w:t>未对竞争性谈判文件作实质性响应的供应商，不得进入具体谈判程序。</w:t>
      </w:r>
    </w:p>
    <w:p w14:paraId="1277B442">
      <w:pPr>
        <w:widowControl/>
        <w:spacing w:line="400" w:lineRule="exact"/>
        <w:ind w:firstLine="480" w:firstLineChars="200"/>
      </w:pPr>
      <w:r>
        <w:rPr>
          <w:rFonts w:hint="eastAsia" w:ascii="宋体" w:hAnsi="宋体" w:cs="宋体"/>
          <w:kern w:val="0"/>
          <w:sz w:val="24"/>
          <w:shd w:val="clear" w:color="auto" w:fill="FFFFFF"/>
        </w:rPr>
        <w:t>B. 供应商出现下列情况之一的，不能通过符合性检查：</w:t>
      </w:r>
    </w:p>
    <w:p w14:paraId="0CD6DC1C">
      <w:pPr>
        <w:widowControl/>
        <w:spacing w:line="400" w:lineRule="exact"/>
        <w:ind w:firstLine="480" w:firstLineChars="200"/>
      </w:pPr>
      <w:r>
        <w:rPr>
          <w:rFonts w:hint="eastAsia" w:ascii="宋体" w:hAnsi="宋体" w:cs="宋体"/>
          <w:kern w:val="0"/>
          <w:sz w:val="24"/>
          <w:shd w:val="clear" w:color="auto" w:fill="FFFFFF"/>
        </w:rPr>
        <w:t>①谈判响应文件未按要求编制和密封的；</w:t>
      </w:r>
    </w:p>
    <w:p w14:paraId="3E31E9CC">
      <w:pPr>
        <w:widowControl/>
        <w:adjustRightInd w:val="0"/>
        <w:spacing w:line="400" w:lineRule="exact"/>
        <w:ind w:firstLine="480" w:firstLineChars="200"/>
      </w:pPr>
      <w:r>
        <w:rPr>
          <w:rFonts w:hint="eastAsia" w:ascii="宋体" w:hAnsi="宋体" w:cs="宋体"/>
          <w:kern w:val="0"/>
          <w:sz w:val="24"/>
          <w:shd w:val="clear" w:color="auto" w:fill="FFFFFF"/>
        </w:rPr>
        <w:t>② 谈判小组发现供应商的最终谈判报价明显低于其他最终谈判报价，可能低于其企业成本，供应商又不能合理说明或不能提供相关证明材料，经认定该供应商以低于企业成本报价竞标的；</w:t>
      </w:r>
    </w:p>
    <w:p w14:paraId="0648CB58">
      <w:pPr>
        <w:widowControl/>
        <w:spacing w:line="400" w:lineRule="exact"/>
        <w:ind w:firstLine="480" w:firstLineChars="200"/>
      </w:pPr>
      <w:r>
        <w:rPr>
          <w:rFonts w:hint="eastAsia" w:ascii="宋体" w:hAnsi="宋体" w:cs="宋体"/>
          <w:color w:val="000000"/>
          <w:kern w:val="0"/>
          <w:sz w:val="24"/>
          <w:shd w:val="clear" w:color="auto" w:fill="FFFFFF"/>
        </w:rPr>
        <w:t xml:space="preserve">③ </w:t>
      </w:r>
      <w:r>
        <w:rPr>
          <w:rFonts w:hint="eastAsia" w:ascii="宋体" w:hAnsi="宋体" w:cs="宋体"/>
          <w:bCs/>
          <w:kern w:val="0"/>
          <w:sz w:val="24"/>
          <w:shd w:val="clear" w:color="auto" w:fill="FFFFFF"/>
        </w:rPr>
        <w:t>不同</w:t>
      </w:r>
      <w:r>
        <w:rPr>
          <w:rFonts w:hint="eastAsia" w:ascii="宋体" w:hAnsi="宋体" w:cs="宋体"/>
          <w:kern w:val="0"/>
          <w:sz w:val="24"/>
          <w:shd w:val="clear" w:color="auto" w:fill="FFFFFF"/>
        </w:rPr>
        <w:t>供应商</w:t>
      </w:r>
      <w:r>
        <w:rPr>
          <w:rFonts w:hint="eastAsia" w:ascii="宋体" w:hAnsi="宋体" w:cs="宋体"/>
          <w:bCs/>
          <w:kern w:val="0"/>
          <w:sz w:val="24"/>
          <w:shd w:val="clear" w:color="auto" w:fill="FFFFFF"/>
        </w:rPr>
        <w:t>的响应文件出现了谈判小组认为不应当雷同的情况；</w:t>
      </w:r>
    </w:p>
    <w:p w14:paraId="37980EC2">
      <w:pPr>
        <w:widowControl/>
        <w:spacing w:line="400" w:lineRule="exact"/>
        <w:ind w:firstLine="480" w:firstLineChars="200"/>
      </w:pPr>
      <w:r>
        <w:rPr>
          <w:rFonts w:hint="eastAsia" w:ascii="宋体" w:hAnsi="宋体" w:cs="宋体"/>
          <w:kern w:val="0"/>
          <w:sz w:val="24"/>
          <w:shd w:val="clear" w:color="auto" w:fill="FFFFFF"/>
        </w:rPr>
        <w:t>④</w:t>
      </w:r>
      <w:r>
        <w:rPr>
          <w:rFonts w:hint="eastAsia" w:ascii="宋体" w:hAnsi="宋体" w:cs="Arial"/>
          <w:kern w:val="0"/>
          <w:sz w:val="24"/>
          <w:shd w:val="clear" w:color="auto" w:fill="FFFFFF"/>
        </w:rPr>
        <w:t>响应文件提出了不能满足谈判文件要求或采购人不能接受的工程验收、计量、价款结算支付办法；</w:t>
      </w:r>
    </w:p>
    <w:p w14:paraId="0F43F386">
      <w:pPr>
        <w:widowControl/>
        <w:spacing w:line="400" w:lineRule="exact"/>
        <w:ind w:firstLine="480" w:firstLineChars="200"/>
      </w:pPr>
      <w:r>
        <w:rPr>
          <w:rFonts w:hint="eastAsia" w:ascii="宋体" w:hAnsi="宋体" w:cs="宋体"/>
          <w:bCs/>
          <w:kern w:val="0"/>
          <w:sz w:val="24"/>
          <w:shd w:val="clear" w:color="auto" w:fill="FFFFFF"/>
        </w:rPr>
        <w:t>⑤</w:t>
      </w:r>
      <w:r>
        <w:rPr>
          <w:rFonts w:hint="eastAsia" w:ascii="宋体" w:hAnsi="宋体" w:cs="宋体"/>
          <w:kern w:val="0"/>
          <w:sz w:val="24"/>
          <w:shd w:val="clear" w:color="auto" w:fill="FFFFFF"/>
        </w:rPr>
        <w:t>经谈判，供应商仍不承诺满足谈判文件的实质性要求的。</w:t>
      </w:r>
    </w:p>
    <w:p w14:paraId="19F957A9">
      <w:pPr>
        <w:widowControl/>
        <w:spacing w:line="400" w:lineRule="exact"/>
        <w:ind w:firstLine="48" w:firstLineChars="20"/>
      </w:pPr>
      <w:r>
        <w:rPr>
          <w:rFonts w:hint="eastAsia" w:ascii="宋体" w:hAnsi="宋体" w:cs="宋体"/>
          <w:kern w:val="0"/>
          <w:sz w:val="24"/>
          <w:shd w:val="clear" w:color="auto" w:fill="FFFFFF"/>
        </w:rPr>
        <w:t>（4）</w:t>
      </w:r>
      <w:r>
        <w:rPr>
          <w:rFonts w:hint="eastAsia" w:ascii="宋体" w:hAnsi="宋体" w:cs="Arial"/>
          <w:kern w:val="0"/>
          <w:sz w:val="24"/>
          <w:shd w:val="clear" w:color="auto" w:fill="FFFFFF"/>
        </w:rPr>
        <w:t>澄清或说明</w:t>
      </w:r>
    </w:p>
    <w:p w14:paraId="5CB1F3E7">
      <w:pPr>
        <w:widowControl/>
        <w:spacing w:line="400" w:lineRule="exact"/>
        <w:ind w:firstLine="480" w:firstLineChars="200"/>
      </w:pPr>
      <w:r>
        <w:rPr>
          <w:rFonts w:hint="eastAsia" w:ascii="宋体" w:hAnsi="宋体" w:cs="宋体"/>
          <w:kern w:val="0"/>
          <w:sz w:val="24"/>
          <w:shd w:val="clear" w:color="auto" w:fill="FFFFFF"/>
        </w:rPr>
        <w:t>A.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670FF0A">
      <w:pPr>
        <w:widowControl/>
        <w:spacing w:line="400" w:lineRule="exact"/>
        <w:ind w:firstLine="480" w:firstLineChars="200"/>
      </w:pPr>
      <w:r>
        <w:rPr>
          <w:rFonts w:hint="eastAsia" w:ascii="宋体" w:hAnsi="宋体" w:cs="宋体"/>
          <w:kern w:val="0"/>
          <w:sz w:val="24"/>
          <w:shd w:val="clear" w:color="auto" w:fill="FFFFFF"/>
        </w:rPr>
        <w:t>B.必要澄清、说明或更正原则是：谈判响应文件的大写金额和小写金额不一致的，以大写金额为准；总价金额与按单价汇总金额不一致的，以单价金额计算结果为准；单价金额小数点有明显错位的，应以总价为准，并修改单价；对不同文字文本竞争性谈判响应文件的解释发生异议的，以中文文本为准。</w:t>
      </w:r>
    </w:p>
    <w:p w14:paraId="43B9F73B">
      <w:pPr>
        <w:widowControl/>
        <w:spacing w:line="400" w:lineRule="exact"/>
        <w:ind w:firstLine="480" w:firstLineChars="200"/>
      </w:pPr>
      <w:r>
        <w:rPr>
          <w:rFonts w:hint="eastAsia" w:ascii="宋体" w:hAnsi="宋体" w:cs="宋体"/>
          <w:color w:val="000000"/>
          <w:kern w:val="0"/>
          <w:sz w:val="24"/>
          <w:shd w:val="clear" w:color="auto" w:fill="FFFFFF"/>
        </w:rPr>
        <w:t>C.</w:t>
      </w:r>
      <w:r>
        <w:rPr>
          <w:rFonts w:hint="eastAsia" w:ascii="宋体" w:hAnsi="宋体" w:cs="宋体"/>
          <w:kern w:val="0"/>
          <w:sz w:val="24"/>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DF54C11">
      <w:pPr>
        <w:widowControl/>
        <w:adjustRightInd w:val="0"/>
        <w:spacing w:line="400" w:lineRule="exact"/>
        <w:ind w:firstLine="480" w:firstLineChars="200"/>
      </w:pPr>
      <w:r>
        <w:rPr>
          <w:rFonts w:hint="eastAsia" w:ascii="宋体" w:hAnsi="宋体" w:cs="宋体"/>
          <w:kern w:val="0"/>
          <w:sz w:val="24"/>
          <w:shd w:val="clear" w:color="auto" w:fill="FFFFFF"/>
        </w:rPr>
        <w:t>（5）</w:t>
      </w:r>
      <w:r>
        <w:rPr>
          <w:rFonts w:hint="eastAsia" w:ascii="宋体" w:hAnsi="宋体" w:cs="宋体"/>
          <w:kern w:val="0"/>
          <w:sz w:val="24"/>
          <w:shd w:val="clear" w:color="auto" w:fill="FFFFFF"/>
          <w:lang w:val="zh-CN"/>
        </w:rPr>
        <w:t xml:space="preserve">分别谈判   </w:t>
      </w:r>
    </w:p>
    <w:p w14:paraId="25669CED">
      <w:pPr>
        <w:widowControl/>
        <w:adjustRightInd w:val="0"/>
        <w:spacing w:line="400" w:lineRule="exact"/>
        <w:ind w:firstLine="480" w:firstLineChars="200"/>
      </w:pPr>
      <w:r>
        <w:rPr>
          <w:rFonts w:hint="eastAsia" w:ascii="宋体" w:hAnsi="宋体" w:cs="宋体"/>
          <w:kern w:val="0"/>
          <w:sz w:val="24"/>
          <w:shd w:val="clear" w:color="auto" w:fill="FFFFFF"/>
        </w:rPr>
        <w:t>A.</w:t>
      </w:r>
      <w:r>
        <w:rPr>
          <w:rFonts w:hint="eastAsia" w:ascii="宋体" w:hAnsi="宋体" w:cs="宋体"/>
          <w:kern w:val="0"/>
          <w:sz w:val="24"/>
          <w:shd w:val="clear" w:color="auto" w:fill="FFFFFF"/>
          <w:lang w:val="zh-CN"/>
        </w:rPr>
        <w:t>符合性检查合格后</w:t>
      </w:r>
      <w:r>
        <w:rPr>
          <w:rFonts w:hint="eastAsia" w:ascii="宋体" w:hAnsi="宋体" w:cs="宋体"/>
          <w:color w:val="000000"/>
          <w:kern w:val="0"/>
          <w:sz w:val="24"/>
          <w:shd w:val="clear" w:color="auto" w:fill="FFFFFF"/>
        </w:rPr>
        <w:t>，谈判小组按谈判排序逐一与所有合格</w:t>
      </w:r>
      <w:r>
        <w:rPr>
          <w:rFonts w:hint="eastAsia" w:ascii="宋体" w:hAnsi="宋体" w:cs="宋体"/>
          <w:kern w:val="0"/>
          <w:sz w:val="24"/>
          <w:shd w:val="clear" w:color="auto" w:fill="FFFFFF"/>
        </w:rPr>
        <w:t>供应商</w:t>
      </w:r>
      <w:r>
        <w:rPr>
          <w:rFonts w:hint="eastAsia" w:ascii="宋体" w:hAnsi="宋体" w:cs="宋体"/>
          <w:color w:val="000000"/>
          <w:kern w:val="0"/>
          <w:sz w:val="24"/>
          <w:shd w:val="clear" w:color="auto" w:fill="FFFFFF"/>
        </w:rPr>
        <w:t>分别就技术、商务和价格进行相同轮次</w:t>
      </w:r>
      <w:r>
        <w:rPr>
          <w:rFonts w:hint="eastAsia" w:ascii="宋体" w:hAnsi="宋体" w:cs="宋体"/>
          <w:b/>
          <w:color w:val="FF0000"/>
          <w:kern w:val="0"/>
          <w:sz w:val="24"/>
          <w:shd w:val="clear" w:color="auto" w:fill="FFFFFF"/>
        </w:rPr>
        <w:t>（一个回合）</w:t>
      </w:r>
      <w:r>
        <w:rPr>
          <w:rFonts w:hint="eastAsia" w:ascii="宋体" w:hAnsi="宋体" w:cs="宋体"/>
          <w:color w:val="000000"/>
          <w:kern w:val="0"/>
          <w:sz w:val="24"/>
          <w:shd w:val="clear" w:color="auto" w:fill="FFFFFF"/>
        </w:rPr>
        <w:t>谈判，并形成谈判纪要。谈判目的在于澄清报价、优化需求，使所有</w:t>
      </w:r>
      <w:r>
        <w:rPr>
          <w:rFonts w:hint="eastAsia" w:ascii="宋体" w:hAnsi="宋体" w:cs="宋体"/>
          <w:kern w:val="0"/>
          <w:sz w:val="24"/>
          <w:shd w:val="clear" w:color="auto" w:fill="FFFFFF"/>
        </w:rPr>
        <w:t>供应商</w:t>
      </w:r>
      <w:r>
        <w:rPr>
          <w:rFonts w:hint="eastAsia" w:ascii="宋体" w:hAnsi="宋体" w:cs="宋体"/>
          <w:color w:val="000000"/>
          <w:kern w:val="0"/>
          <w:sz w:val="24"/>
          <w:shd w:val="clear" w:color="auto" w:fill="FFFFFF"/>
        </w:rPr>
        <w:t>的响应具有可比性。</w:t>
      </w:r>
    </w:p>
    <w:p w14:paraId="04EE2749">
      <w:pPr>
        <w:widowControl/>
        <w:spacing w:line="400" w:lineRule="exact"/>
        <w:ind w:firstLine="480" w:firstLineChars="200"/>
        <w:jc w:val="left"/>
      </w:pPr>
      <w:r>
        <w:rPr>
          <w:rFonts w:hint="eastAsia" w:ascii="宋体" w:hAnsi="宋体" w:cs="宋体"/>
          <w:kern w:val="0"/>
          <w:sz w:val="24"/>
          <w:shd w:val="clear" w:color="auto" w:fill="FFFFFF"/>
        </w:rPr>
        <w:t>B.</w:t>
      </w:r>
      <w:r>
        <w:rPr>
          <w:rFonts w:hint="eastAsia" w:ascii="宋体" w:hAnsi="宋体" w:cs="宋体"/>
          <w:color w:val="000000"/>
          <w:kern w:val="0"/>
          <w:sz w:val="24"/>
          <w:shd w:val="clear" w:color="auto" w:fill="FFFFFF"/>
        </w:rPr>
        <w:t>谈判的内容包括但不限于：商务条件、技术规格、验收、合同执行计划、相关服务、质量保证、需要采购人配合的事项等内容。</w:t>
      </w:r>
    </w:p>
    <w:p w14:paraId="16546923">
      <w:pPr>
        <w:widowControl/>
        <w:spacing w:line="400" w:lineRule="exact"/>
        <w:ind w:firstLine="480" w:firstLineChars="200"/>
      </w:pPr>
      <w:r>
        <w:rPr>
          <w:rFonts w:hint="eastAsia" w:ascii="宋体" w:hAnsi="宋体" w:cs="宋体"/>
          <w:color w:val="000000"/>
          <w:kern w:val="0"/>
          <w:sz w:val="24"/>
          <w:shd w:val="clear" w:color="auto" w:fill="FFFFFF"/>
        </w:rPr>
        <w:t>C.</w:t>
      </w:r>
      <w:r>
        <w:rPr>
          <w:rFonts w:hint="eastAsia" w:ascii="宋体" w:hAnsi="宋体" w:cs="宋体"/>
          <w:kern w:val="0"/>
          <w:sz w:val="24"/>
          <w:shd w:val="clear" w:color="auto" w:fill="FFFFFF"/>
        </w:rPr>
        <w:t>谈判小组在经采购人代表确认的情况下，可以根据谈判文件和谈判情况，实质性变动的内容为：采购需求中的技术、服务要求以及合同草案条款。</w:t>
      </w:r>
    </w:p>
    <w:p w14:paraId="6BABC7F7">
      <w:pPr>
        <w:widowControl/>
        <w:spacing w:line="400" w:lineRule="exact"/>
        <w:ind w:firstLine="480" w:firstLineChars="200"/>
      </w:pPr>
      <w:r>
        <w:rPr>
          <w:rFonts w:hint="eastAsia" w:ascii="宋体" w:hAnsi="宋体" w:cs="宋体"/>
          <w:kern w:val="0"/>
          <w:sz w:val="24"/>
          <w:shd w:val="clear" w:color="auto" w:fill="FFFFFF"/>
        </w:rPr>
        <w:t>D.对谈判文件作出的实质性变动是谈判文件的有效组成部分，谈判小组应当及时以书面形式同时通知所有参加谈判的供应商。供应商应当按照谈判文件的变动情况和谈判小组的要求修订谈判响应文件，并由其法定代表人或授权代表签字或者加盖公章。由授权代表签字的，应当附法定代表人授权书。供应商为自然人的，应当由本人签字并附身份证明。</w:t>
      </w:r>
    </w:p>
    <w:p w14:paraId="5626CA11">
      <w:pPr>
        <w:widowControl/>
        <w:adjustRightInd w:val="0"/>
        <w:spacing w:line="400" w:lineRule="exact"/>
        <w:ind w:firstLine="480" w:firstLineChars="200"/>
      </w:pPr>
      <w:r>
        <w:rPr>
          <w:rFonts w:hint="eastAsia" w:ascii="宋体" w:hAnsi="宋体" w:cs="宋体"/>
          <w:kern w:val="0"/>
          <w:sz w:val="24"/>
          <w:shd w:val="clear" w:color="auto" w:fill="FFFFFF"/>
          <w:lang w:val="zh-CN"/>
        </w:rPr>
        <w:t>E.</w:t>
      </w:r>
      <w:r>
        <w:rPr>
          <w:rFonts w:hint="eastAsia" w:ascii="宋体" w:hAnsi="宋体" w:cs="宋体"/>
          <w:color w:val="000000"/>
          <w:kern w:val="0"/>
          <w:sz w:val="24"/>
          <w:shd w:val="clear" w:color="auto" w:fill="FFFFFF"/>
        </w:rPr>
        <w:t>谈判小组决定报价文件的响应性原则上只根据谈判文件本身的内容，而不寻找外部的证据</w:t>
      </w:r>
      <w:r>
        <w:rPr>
          <w:rFonts w:hint="eastAsia" w:ascii="宋体" w:hAnsi="宋体" w:cs="宋体"/>
          <w:kern w:val="0"/>
          <w:sz w:val="24"/>
          <w:shd w:val="clear" w:color="auto" w:fill="FFFFFF"/>
        </w:rPr>
        <w:t>。</w:t>
      </w:r>
    </w:p>
    <w:p w14:paraId="0F27E8CA">
      <w:pPr>
        <w:widowControl/>
        <w:adjustRightInd w:val="0"/>
        <w:spacing w:line="400" w:lineRule="exact"/>
        <w:ind w:firstLine="480" w:firstLineChars="200"/>
      </w:pPr>
      <w:r>
        <w:rPr>
          <w:rFonts w:hint="eastAsia" w:ascii="宋体" w:hAnsi="宋体" w:cs="宋体"/>
          <w:kern w:val="0"/>
          <w:sz w:val="24"/>
          <w:shd w:val="clear" w:color="auto" w:fill="FFFFFF"/>
        </w:rPr>
        <w:t>（6）最终报价</w:t>
      </w:r>
    </w:p>
    <w:p w14:paraId="634AC0D4">
      <w:pPr>
        <w:widowControl/>
        <w:adjustRightInd w:val="0"/>
        <w:spacing w:line="400" w:lineRule="exact"/>
        <w:ind w:firstLine="480" w:firstLineChars="200"/>
      </w:pPr>
      <w:r>
        <w:rPr>
          <w:rFonts w:hint="eastAsia" w:ascii="宋体" w:hAnsi="宋体" w:cs="宋体"/>
          <w:kern w:val="0"/>
          <w:sz w:val="24"/>
          <w:shd w:val="clear" w:color="auto" w:fill="FFFFFF"/>
        </w:rPr>
        <w:t>谈判结束后，谈判小组要求所有实质性响应的供应商在规定时间内作最终报价，报价原则是：</w:t>
      </w:r>
    </w:p>
    <w:p w14:paraId="1FFA2540">
      <w:pPr>
        <w:widowControl/>
        <w:adjustRightInd w:val="0"/>
        <w:spacing w:line="400" w:lineRule="exact"/>
        <w:ind w:firstLine="480" w:firstLineChars="200"/>
      </w:pPr>
      <w:r>
        <w:rPr>
          <w:rFonts w:hint="eastAsia" w:ascii="宋体" w:hAnsi="宋体" w:cs="宋体"/>
          <w:kern w:val="0"/>
          <w:sz w:val="24"/>
          <w:shd w:val="clear" w:color="auto" w:fill="FFFFFF"/>
        </w:rPr>
        <w:t>A.谈判文件能够详细列明采购标的的技术、服务要求的，谈判结束后所有供应商在规定时间内提交最后报价；</w:t>
      </w:r>
    </w:p>
    <w:p w14:paraId="5FC6E4C3">
      <w:pPr>
        <w:widowControl/>
        <w:adjustRightInd w:val="0"/>
        <w:spacing w:line="400" w:lineRule="exact"/>
        <w:ind w:firstLine="480" w:firstLineChars="200"/>
      </w:pPr>
      <w:r>
        <w:rPr>
          <w:rFonts w:hint="eastAsia" w:ascii="宋体" w:hAnsi="宋体" w:cs="宋体"/>
          <w:kern w:val="0"/>
          <w:sz w:val="24"/>
          <w:shd w:val="clear" w:color="auto" w:fill="FFFFFF"/>
        </w:rPr>
        <w:t>B.谈判文件不能详细列明采购标的的技术、服务要求，需经谈判由供应商提供最终设计方案或解决方案的，谈判结束后，谈判小组按照少数服从多数的原则投票推荐3家以上供应商的设计方案或者解决方案，并要求其在规定时间内提交最后报价。最后报价是供应商响应文件的有效组成部分。</w:t>
      </w:r>
    </w:p>
    <w:p w14:paraId="0AC464D3">
      <w:pPr>
        <w:widowControl/>
        <w:adjustRightInd w:val="0"/>
        <w:spacing w:line="400" w:lineRule="exact"/>
        <w:ind w:firstLine="480" w:firstLineChars="200"/>
      </w:pPr>
      <w:r>
        <w:rPr>
          <w:rFonts w:hint="eastAsia" w:ascii="宋体" w:hAnsi="宋体" w:cs="宋体"/>
          <w:kern w:val="0"/>
          <w:sz w:val="24"/>
          <w:shd w:val="clear" w:color="auto" w:fill="FFFFFF"/>
        </w:rPr>
        <w:t>C.谈判供应商的最终报价不能高于其初次报价，否则其最终报价为无效报价（因谈判小组依据谈判文件的规定，实质性变动采购需求，导致采购数量或工程量增加的情形除外）。</w:t>
      </w:r>
    </w:p>
    <w:p w14:paraId="01B8EEBC">
      <w:pPr>
        <w:widowControl/>
        <w:adjustRightInd w:val="0"/>
        <w:spacing w:line="400" w:lineRule="exact"/>
        <w:ind w:firstLine="480" w:firstLineChars="200"/>
      </w:pPr>
      <w:r>
        <w:rPr>
          <w:rFonts w:hint="eastAsia" w:ascii="宋体" w:hAnsi="宋体" w:cs="宋体"/>
          <w:kern w:val="0"/>
          <w:sz w:val="24"/>
          <w:shd w:val="clear" w:color="auto" w:fill="FFFFFF"/>
        </w:rPr>
        <w:t>（7）评 定</w:t>
      </w:r>
    </w:p>
    <w:p w14:paraId="7DD4CDB2">
      <w:pPr>
        <w:widowControl/>
        <w:adjustRightInd w:val="0"/>
        <w:spacing w:line="400" w:lineRule="exact"/>
        <w:ind w:firstLine="480" w:firstLineChars="200"/>
      </w:pPr>
      <w:r>
        <w:rPr>
          <w:rFonts w:hint="eastAsia" w:ascii="宋体" w:hAnsi="宋体" w:cs="宋体"/>
          <w:kern w:val="0"/>
          <w:sz w:val="24"/>
          <w:shd w:val="clear" w:color="auto" w:fill="FFFFFF"/>
        </w:rPr>
        <w:t>A.价格扣除。</w:t>
      </w:r>
      <w:r>
        <w:rPr>
          <w:rFonts w:hint="eastAsia" w:ascii="宋体" w:hAnsi="宋体" w:cs="宋体"/>
          <w:b/>
          <w:bCs/>
          <w:kern w:val="0"/>
          <w:sz w:val="24"/>
          <w:shd w:val="clear" w:color="auto" w:fill="FFFFFF"/>
        </w:rPr>
        <w:t>无。</w:t>
      </w:r>
    </w:p>
    <w:p w14:paraId="33713E67">
      <w:pPr>
        <w:widowControl/>
        <w:adjustRightInd w:val="0"/>
        <w:spacing w:line="400" w:lineRule="exact"/>
        <w:ind w:firstLine="480" w:firstLineChars="200"/>
      </w:pPr>
      <w:r>
        <w:rPr>
          <w:rFonts w:hint="eastAsia" w:ascii="宋体" w:hAnsi="宋体" w:cs="宋体"/>
          <w:kern w:val="0"/>
          <w:sz w:val="24"/>
          <w:shd w:val="clear" w:color="auto" w:fill="FFFFFF"/>
        </w:rPr>
        <w:t>B.谈判小组从质量和服务均能满足谈判文件实质性响应要求的供应商中，按照最后报价由低到高的顺序向采购人代表推荐</w:t>
      </w:r>
      <w:r>
        <w:rPr>
          <w:rFonts w:hint="eastAsia" w:hAnsi="宋体" w:cs="宋体"/>
          <w:kern w:val="0"/>
          <w:sz w:val="24"/>
          <w:shd w:val="clear" w:color="auto" w:fill="FFFFFF"/>
        </w:rPr>
        <w:t>不超过</w:t>
      </w:r>
      <w:r>
        <w:rPr>
          <w:kern w:val="0"/>
          <w:sz w:val="24"/>
          <w:shd w:val="clear" w:color="auto" w:fill="FFFFFF"/>
        </w:rPr>
        <w:t>3</w:t>
      </w:r>
      <w:r>
        <w:rPr>
          <w:rFonts w:hint="eastAsia" w:hAnsi="宋体" w:cs="宋体"/>
          <w:kern w:val="0"/>
          <w:sz w:val="24"/>
          <w:shd w:val="clear" w:color="auto" w:fill="FFFFFF"/>
        </w:rPr>
        <w:t>名有排序的</w:t>
      </w:r>
      <w:r>
        <w:rPr>
          <w:rFonts w:hint="eastAsia" w:ascii="宋体" w:hAnsi="宋体" w:cs="宋体"/>
          <w:kern w:val="0"/>
          <w:sz w:val="24"/>
          <w:shd w:val="clear" w:color="auto" w:fill="FFFFFF"/>
        </w:rPr>
        <w:t>成交候选人</w:t>
      </w:r>
      <w:r>
        <w:rPr>
          <w:rFonts w:hint="eastAsia" w:ascii="宋体" w:hAnsi="宋体" w:cs="宋体"/>
          <w:color w:val="000000"/>
          <w:kern w:val="0"/>
          <w:sz w:val="24"/>
          <w:shd w:val="clear" w:color="auto" w:fill="FFFFFF"/>
        </w:rPr>
        <w:t>。</w:t>
      </w:r>
    </w:p>
    <w:p w14:paraId="5B2026F5">
      <w:pPr>
        <w:widowControl/>
        <w:spacing w:line="400" w:lineRule="exact"/>
        <w:ind w:firstLine="480" w:firstLineChars="200"/>
      </w:pPr>
      <w:r>
        <w:rPr>
          <w:rFonts w:hint="eastAsia" w:ascii="宋体" w:hAnsi="宋体" w:cs="宋体"/>
          <w:kern w:val="0"/>
          <w:sz w:val="24"/>
          <w:shd w:val="clear" w:color="auto" w:fill="FFFFFF"/>
        </w:rPr>
        <w:t>C.</w:t>
      </w:r>
      <w:r>
        <w:rPr>
          <w:rFonts w:hint="eastAsia" w:ascii="宋体" w:hAnsi="宋体" w:cs="宋体"/>
          <w:spacing w:val="-10"/>
          <w:kern w:val="0"/>
          <w:sz w:val="24"/>
          <w:shd w:val="clear" w:color="auto" w:fill="FFFFFF"/>
          <w:lang w:val="zh-CN"/>
        </w:rPr>
        <w:t>如果出现两个以上的相同最低报价，则由谈判小组按照报价文件中货物的技术参数、质量保证和售后服务方面择优做出评判，确定成交候选人。</w:t>
      </w:r>
    </w:p>
    <w:p w14:paraId="0E79AD3F">
      <w:pPr>
        <w:widowControl/>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D.谈判小组编写评审报告，向采购人、采购代理机构报告评审结果。</w:t>
      </w:r>
    </w:p>
    <w:p w14:paraId="55713FC1">
      <w:pPr>
        <w:widowControl/>
        <w:adjustRightInd w:val="0"/>
        <w:spacing w:line="400" w:lineRule="exact"/>
        <w:ind w:firstLine="480" w:firstLineChars="200"/>
        <w:rPr>
          <w:rFonts w:ascii="宋体" w:hAnsi="宋体" w:cs="宋体"/>
          <w:kern w:val="0"/>
          <w:sz w:val="24"/>
          <w:shd w:val="clear" w:color="auto" w:fill="FFFFFF"/>
        </w:rPr>
      </w:pPr>
      <w:r>
        <w:rPr>
          <w:rFonts w:hint="eastAsia" w:ascii="宋体" w:hAnsi="宋体" w:cs="宋体"/>
          <w:kern w:val="0"/>
          <w:sz w:val="24"/>
          <w:shd w:val="clear" w:color="auto" w:fill="FFFFFF"/>
        </w:rPr>
        <w:t>（8）中小企业划型标准规定（工信部联企业〔2011〕300号）</w:t>
      </w:r>
    </w:p>
    <w:p w14:paraId="5A247984">
      <w:pPr>
        <w:spacing w:line="400" w:lineRule="exact"/>
        <w:ind w:firstLine="480" w:firstLineChars="200"/>
        <w:rPr>
          <w:rFonts w:ascii="宋体" w:hAnsi="宋体" w:cs="宋体"/>
          <w:color w:val="000000"/>
          <w:sz w:val="24"/>
        </w:rPr>
      </w:pPr>
      <w:r>
        <w:rPr>
          <w:rFonts w:ascii="宋体" w:hAnsi="宋体" w:cs="宋体"/>
          <w:color w:val="000000"/>
          <w:sz w:val="24"/>
        </w:rPr>
        <w:t>一、根据《中华人民共和国中小企业促进法》和《国务院关于进一步促进中小企业发展的若干意见》(国发〔2009〕36号)，制定本规定。</w:t>
      </w:r>
    </w:p>
    <w:p w14:paraId="280816E4">
      <w:pPr>
        <w:spacing w:line="400" w:lineRule="exact"/>
        <w:ind w:firstLine="480" w:firstLineChars="200"/>
        <w:rPr>
          <w:rFonts w:ascii="宋体" w:hAnsi="宋体" w:cs="宋体"/>
          <w:color w:val="000000"/>
          <w:sz w:val="24"/>
        </w:rPr>
      </w:pPr>
      <w:r>
        <w:rPr>
          <w:rFonts w:hint="eastAsia" w:ascii="宋体" w:hAnsi="宋体" w:cs="宋体"/>
          <w:color w:val="000000"/>
          <w:sz w:val="24"/>
        </w:rPr>
        <w:t>　　二、中小企业划分为中型、小型、微型三种类型，具体标准根据企业从业人员、营业收入、资产总额等指标，结合行业特点制定。</w:t>
      </w:r>
    </w:p>
    <w:p w14:paraId="36982606">
      <w:pPr>
        <w:spacing w:line="400" w:lineRule="exact"/>
        <w:ind w:firstLine="480" w:firstLineChars="200"/>
        <w:rPr>
          <w:rFonts w:ascii="宋体" w:hAnsi="宋体" w:cs="宋体"/>
          <w:color w:val="000000"/>
          <w:sz w:val="24"/>
        </w:rPr>
      </w:pPr>
      <w:r>
        <w:rPr>
          <w:rFonts w:hint="eastAsia" w:ascii="宋体" w:hAnsi="宋体" w:cs="宋体"/>
          <w:color w:val="000000"/>
          <w:sz w:val="24"/>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30B397B">
      <w:pPr>
        <w:spacing w:line="400" w:lineRule="exact"/>
        <w:ind w:firstLine="480" w:firstLineChars="200"/>
        <w:rPr>
          <w:rFonts w:ascii="宋体" w:hAnsi="宋体" w:cs="宋体"/>
          <w:color w:val="000000"/>
          <w:sz w:val="24"/>
        </w:rPr>
      </w:pPr>
      <w:r>
        <w:rPr>
          <w:rFonts w:hint="eastAsia" w:ascii="宋体" w:hAnsi="宋体" w:cs="宋体"/>
          <w:color w:val="000000"/>
          <w:sz w:val="24"/>
        </w:rPr>
        <w:t>　　四、各行业划型标准为：</w:t>
      </w:r>
    </w:p>
    <w:p w14:paraId="38CB6F11">
      <w:pPr>
        <w:spacing w:line="400" w:lineRule="exact"/>
        <w:ind w:firstLine="480" w:firstLineChars="200"/>
        <w:rPr>
          <w:rFonts w:ascii="宋体" w:hAnsi="宋体" w:cs="宋体"/>
          <w:color w:val="000000"/>
          <w:sz w:val="24"/>
        </w:rPr>
      </w:pPr>
      <w:r>
        <w:rPr>
          <w:rFonts w:hint="eastAsia" w:ascii="宋体" w:hAnsi="宋体" w:cs="宋体"/>
          <w:color w:val="000000"/>
          <w:sz w:val="24"/>
        </w:rPr>
        <w:t>　　（一）农、林、牧、渔业。营业收入20000万元以下的为中小微型企业。其中，营业收入500万元及以上的为中型企业，营业收入50万元及以上的为小型企业，营业收入50万元以下的为微型企业。</w:t>
      </w:r>
    </w:p>
    <w:p w14:paraId="6AD2F8F6">
      <w:pPr>
        <w:spacing w:line="400" w:lineRule="exact"/>
        <w:ind w:firstLine="480" w:firstLineChars="200"/>
        <w:rPr>
          <w:rFonts w:ascii="宋体" w:hAnsi="宋体" w:cs="宋体"/>
          <w:color w:val="000000"/>
          <w:sz w:val="24"/>
        </w:rPr>
      </w:pPr>
      <w:r>
        <w:rPr>
          <w:rFonts w:hint="eastAsia" w:ascii="宋体" w:hAnsi="宋体" w:cs="宋体"/>
          <w:color w:val="000000"/>
          <w:sz w:val="24"/>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118CF0D">
      <w:pPr>
        <w:spacing w:line="400" w:lineRule="exact"/>
        <w:ind w:firstLine="480" w:firstLineChars="200"/>
        <w:rPr>
          <w:rFonts w:ascii="宋体" w:hAnsi="宋体" w:cs="宋体"/>
          <w:color w:val="000000"/>
          <w:sz w:val="24"/>
        </w:rPr>
      </w:pPr>
      <w:r>
        <w:rPr>
          <w:rFonts w:hint="eastAsia" w:ascii="宋体" w:hAnsi="宋体" w:cs="宋体"/>
          <w:color w:val="000000"/>
          <w:sz w:val="24"/>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CD0D6E3">
      <w:pPr>
        <w:spacing w:line="400" w:lineRule="exact"/>
        <w:ind w:firstLine="480" w:firstLineChars="200"/>
        <w:rPr>
          <w:rFonts w:ascii="宋体" w:hAnsi="宋体" w:cs="宋体"/>
          <w:color w:val="000000"/>
          <w:sz w:val="24"/>
        </w:rPr>
      </w:pPr>
      <w:r>
        <w:rPr>
          <w:rFonts w:hint="eastAsia" w:ascii="宋体" w:hAnsi="宋体" w:cs="宋体"/>
          <w:color w:val="000000"/>
          <w:sz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FC727F8">
      <w:pPr>
        <w:spacing w:line="400" w:lineRule="exact"/>
        <w:ind w:firstLine="480" w:firstLineChars="200"/>
        <w:rPr>
          <w:rFonts w:ascii="宋体" w:hAnsi="宋体" w:cs="宋体"/>
          <w:color w:val="000000"/>
          <w:sz w:val="24"/>
        </w:rPr>
      </w:pPr>
      <w:r>
        <w:rPr>
          <w:rFonts w:hint="eastAsia" w:ascii="宋体" w:hAnsi="宋体" w:cs="宋体"/>
          <w:color w:val="000000"/>
          <w:sz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DDADD8B">
      <w:pPr>
        <w:spacing w:line="400" w:lineRule="exact"/>
        <w:ind w:firstLine="480" w:firstLineChars="200"/>
        <w:rPr>
          <w:rFonts w:ascii="宋体" w:hAnsi="宋体" w:cs="宋体"/>
          <w:color w:val="000000"/>
          <w:sz w:val="24"/>
        </w:rPr>
      </w:pPr>
      <w:r>
        <w:rPr>
          <w:rFonts w:hint="eastAsia" w:ascii="宋体" w:hAnsi="宋体" w:cs="宋体"/>
          <w:color w:val="000000"/>
          <w:sz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936139E">
      <w:pPr>
        <w:spacing w:line="400" w:lineRule="exact"/>
        <w:ind w:firstLine="480" w:firstLineChars="200"/>
        <w:rPr>
          <w:rFonts w:ascii="宋体" w:hAnsi="宋体" w:cs="宋体"/>
          <w:color w:val="000000"/>
          <w:sz w:val="24"/>
        </w:rPr>
      </w:pPr>
      <w:r>
        <w:rPr>
          <w:rFonts w:hint="eastAsia" w:ascii="宋体" w:hAnsi="宋体" w:cs="宋体"/>
          <w:color w:val="000000"/>
          <w:sz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9CA0E7">
      <w:pPr>
        <w:spacing w:line="400" w:lineRule="exact"/>
        <w:ind w:firstLine="480" w:firstLineChars="200"/>
        <w:rPr>
          <w:rFonts w:ascii="宋体" w:hAnsi="宋体" w:cs="宋体"/>
          <w:color w:val="000000"/>
          <w:sz w:val="24"/>
        </w:rPr>
      </w:pPr>
      <w:r>
        <w:rPr>
          <w:rFonts w:hint="eastAsia" w:ascii="宋体" w:hAnsi="宋体" w:cs="宋体"/>
          <w:color w:val="000000"/>
          <w:sz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D78E865">
      <w:pPr>
        <w:spacing w:line="400" w:lineRule="exact"/>
        <w:ind w:firstLine="480" w:firstLineChars="200"/>
        <w:rPr>
          <w:rFonts w:ascii="宋体" w:hAnsi="宋体" w:cs="宋体"/>
          <w:color w:val="000000"/>
          <w:sz w:val="24"/>
        </w:rPr>
      </w:pPr>
      <w:r>
        <w:rPr>
          <w:rFonts w:hint="eastAsia" w:ascii="宋体" w:hAnsi="宋体" w:cs="宋体"/>
          <w:color w:val="000000"/>
          <w:sz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B1752ED">
      <w:pPr>
        <w:spacing w:line="400" w:lineRule="exact"/>
        <w:ind w:firstLine="480" w:firstLineChars="200"/>
        <w:rPr>
          <w:rFonts w:ascii="宋体" w:hAnsi="宋体" w:cs="宋体"/>
          <w:color w:val="000000"/>
          <w:sz w:val="24"/>
        </w:rPr>
      </w:pPr>
      <w:r>
        <w:rPr>
          <w:rFonts w:hint="eastAsia" w:ascii="宋体" w:hAnsi="宋体" w:cs="宋体"/>
          <w:color w:val="000000"/>
          <w:sz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889E14F">
      <w:pPr>
        <w:spacing w:line="400" w:lineRule="exact"/>
        <w:ind w:firstLine="480" w:firstLineChars="200"/>
        <w:rPr>
          <w:rFonts w:ascii="宋体" w:hAnsi="宋体" w:cs="宋体"/>
          <w:color w:val="000000"/>
          <w:sz w:val="24"/>
        </w:rPr>
      </w:pPr>
      <w:r>
        <w:rPr>
          <w:rFonts w:hint="eastAsia" w:ascii="宋体" w:hAnsi="宋体" w:cs="宋体"/>
          <w:color w:val="000000"/>
          <w:sz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AA4EF16">
      <w:pPr>
        <w:spacing w:line="400" w:lineRule="exact"/>
        <w:ind w:firstLine="480" w:firstLineChars="200"/>
        <w:rPr>
          <w:rFonts w:ascii="宋体" w:hAnsi="宋体" w:cs="宋体"/>
          <w:color w:val="000000"/>
          <w:sz w:val="24"/>
        </w:rPr>
      </w:pPr>
      <w:r>
        <w:rPr>
          <w:rFonts w:hint="eastAsia" w:ascii="宋体" w:hAnsi="宋体" w:cs="宋体"/>
          <w:color w:val="000000"/>
          <w:sz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1F29B11">
      <w:pPr>
        <w:spacing w:line="400" w:lineRule="exact"/>
        <w:ind w:firstLine="480" w:firstLineChars="200"/>
        <w:rPr>
          <w:rFonts w:ascii="宋体" w:hAnsi="宋体" w:cs="宋体"/>
          <w:color w:val="000000"/>
          <w:sz w:val="24"/>
        </w:rPr>
      </w:pPr>
      <w:r>
        <w:rPr>
          <w:rFonts w:hint="eastAsia" w:ascii="宋体" w:hAnsi="宋体" w:cs="宋体"/>
          <w:color w:val="000000"/>
          <w:sz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00D7527">
      <w:pPr>
        <w:spacing w:line="400" w:lineRule="exact"/>
        <w:ind w:firstLine="480" w:firstLineChars="200"/>
        <w:rPr>
          <w:rFonts w:ascii="宋体" w:hAnsi="宋体" w:cs="宋体"/>
          <w:color w:val="000000"/>
          <w:sz w:val="24"/>
        </w:rPr>
      </w:pPr>
      <w:r>
        <w:rPr>
          <w:rFonts w:hint="eastAsia" w:ascii="宋体" w:hAnsi="宋体" w:cs="宋体"/>
          <w:color w:val="000000"/>
          <w:sz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7F5072D">
      <w:pPr>
        <w:spacing w:line="400" w:lineRule="exact"/>
        <w:ind w:firstLine="480" w:firstLineChars="200"/>
        <w:rPr>
          <w:rFonts w:ascii="宋体" w:hAnsi="宋体" w:cs="宋体"/>
          <w:color w:val="000000"/>
          <w:sz w:val="24"/>
        </w:rPr>
      </w:pPr>
      <w:r>
        <w:rPr>
          <w:rFonts w:hint="eastAsia" w:ascii="宋体" w:hAnsi="宋体" w:cs="宋体"/>
          <w:color w:val="000000"/>
          <w:sz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6337DDF">
      <w:pPr>
        <w:spacing w:line="400" w:lineRule="exact"/>
        <w:ind w:firstLine="480" w:firstLineChars="200"/>
        <w:rPr>
          <w:rFonts w:ascii="宋体" w:hAnsi="宋体" w:cs="宋体"/>
          <w:color w:val="000000"/>
          <w:sz w:val="24"/>
        </w:rPr>
      </w:pPr>
      <w:r>
        <w:rPr>
          <w:rFonts w:hint="eastAsia" w:ascii="宋体" w:hAnsi="宋体" w:cs="宋体"/>
          <w:color w:val="000000"/>
          <w:sz w:val="24"/>
        </w:rPr>
        <w:t>　　（十六）其他未列明行业。从业人员300人以下的为中小微型企业。其中，从业人员100人及以上的为中型企业；从业人员10人及以上的为小型企业；从业人员10人以下的为微型企业。</w:t>
      </w:r>
    </w:p>
    <w:p w14:paraId="6FFE6E27">
      <w:pPr>
        <w:spacing w:line="400" w:lineRule="exact"/>
        <w:ind w:firstLine="480" w:firstLineChars="200"/>
        <w:rPr>
          <w:rFonts w:ascii="宋体" w:hAnsi="宋体" w:cs="宋体"/>
          <w:color w:val="000000"/>
          <w:sz w:val="24"/>
        </w:rPr>
      </w:pPr>
      <w:r>
        <w:rPr>
          <w:rFonts w:hint="eastAsia" w:ascii="宋体" w:hAnsi="宋体" w:cs="宋体"/>
          <w:color w:val="000000"/>
          <w:sz w:val="24"/>
        </w:rPr>
        <w:t>　　五、企业类型的划分以统计部门的统计数据为依据。</w:t>
      </w:r>
    </w:p>
    <w:p w14:paraId="06785166">
      <w:pPr>
        <w:spacing w:line="400" w:lineRule="exact"/>
        <w:ind w:firstLine="480" w:firstLineChars="200"/>
        <w:rPr>
          <w:rFonts w:ascii="宋体" w:hAnsi="宋体" w:cs="宋体"/>
          <w:color w:val="000000"/>
          <w:sz w:val="24"/>
        </w:rPr>
      </w:pPr>
      <w:r>
        <w:rPr>
          <w:rFonts w:hint="eastAsia" w:ascii="宋体" w:hAnsi="宋体" w:cs="宋体"/>
          <w:color w:val="000000"/>
          <w:sz w:val="24"/>
        </w:rPr>
        <w:t>　　六、本规定适用于在中华人民共和国境内依法设立的各类所有制和各种组织形式的企业。个体工商户和本规定以外的行业，参照本规定进行划型。</w:t>
      </w:r>
    </w:p>
    <w:p w14:paraId="45DC19AA">
      <w:pPr>
        <w:spacing w:line="400" w:lineRule="exact"/>
        <w:ind w:firstLine="480" w:firstLineChars="200"/>
        <w:rPr>
          <w:rFonts w:ascii="宋体" w:hAnsi="宋体" w:cs="宋体"/>
          <w:color w:val="000000"/>
          <w:sz w:val="24"/>
        </w:rPr>
      </w:pPr>
      <w:r>
        <w:rPr>
          <w:rFonts w:hint="eastAsia" w:ascii="宋体" w:hAnsi="宋体" w:cs="宋体"/>
          <w:color w:val="000000"/>
          <w:sz w:val="24"/>
        </w:rPr>
        <w:t>　　七、本规定的中型企业标准上限即为大型企业标准的下限，国家统计部门据此制定大中小微型企业的统计分类。国务院有关部门据此进行相关数据分析，不得制定与本规定不一致的企业划型标准。</w:t>
      </w:r>
    </w:p>
    <w:p w14:paraId="0D3F8BB4">
      <w:pPr>
        <w:spacing w:line="400" w:lineRule="exact"/>
        <w:ind w:firstLine="480" w:firstLineChars="200"/>
        <w:rPr>
          <w:rFonts w:ascii="宋体" w:hAnsi="宋体" w:cs="宋体"/>
          <w:color w:val="000000"/>
          <w:sz w:val="24"/>
        </w:rPr>
      </w:pPr>
      <w:r>
        <w:rPr>
          <w:rFonts w:hint="eastAsia" w:ascii="宋体" w:hAnsi="宋体" w:cs="宋体"/>
          <w:color w:val="000000"/>
          <w:sz w:val="24"/>
        </w:rPr>
        <w:t>　　八、本规定由工业和信息化部、国家统计局会同有关部门根据《国民经济行业分类》修订情况和企业发展变化情况适时修订。</w:t>
      </w:r>
    </w:p>
    <w:p w14:paraId="080BD208">
      <w:pPr>
        <w:spacing w:line="400" w:lineRule="exact"/>
        <w:ind w:firstLine="480" w:firstLineChars="200"/>
        <w:rPr>
          <w:rFonts w:ascii="宋体" w:hAnsi="宋体" w:cs="宋体"/>
          <w:color w:val="000000"/>
          <w:sz w:val="24"/>
        </w:rPr>
      </w:pPr>
      <w:r>
        <w:rPr>
          <w:rFonts w:hint="eastAsia" w:ascii="宋体" w:hAnsi="宋体" w:cs="宋体"/>
          <w:color w:val="000000"/>
          <w:sz w:val="24"/>
        </w:rPr>
        <w:t>　　九、本规定由工业和信息化部、国家统计局会同有关部门负责解释。</w:t>
      </w:r>
    </w:p>
    <w:p w14:paraId="69CC0683">
      <w:pPr>
        <w:spacing w:line="400" w:lineRule="exact"/>
        <w:ind w:firstLine="480" w:firstLineChars="200"/>
        <w:rPr>
          <w:sz w:val="24"/>
        </w:rPr>
      </w:pPr>
      <w:r>
        <w:rPr>
          <w:rFonts w:hint="eastAsia" w:ascii="宋体" w:hAnsi="宋体" w:cs="宋体"/>
          <w:color w:val="000000"/>
          <w:sz w:val="24"/>
        </w:rPr>
        <w:t>　　十、本规定自发布之日起执行，原国家经贸委、原国家计委、财政部和国家统计局2003年颁布的《中小企业标准暂行规定》同时废止。</w:t>
      </w:r>
    </w:p>
    <w:p w14:paraId="4DC8953C">
      <w:pPr>
        <w:widowControl/>
        <w:spacing w:line="400" w:lineRule="exact"/>
      </w:pPr>
      <w:r>
        <w:rPr>
          <w:rFonts w:hint="eastAsia" w:ascii="黑体" w:hAnsi="宋体" w:eastAsia="黑体" w:cs="黑体"/>
          <w:b/>
          <w:spacing w:val="-10"/>
          <w:kern w:val="0"/>
          <w:sz w:val="24"/>
          <w:shd w:val="clear" w:color="auto" w:fill="FFFFFF"/>
          <w:lang w:val="zh-CN"/>
        </w:rPr>
        <w:t>9、定标</w:t>
      </w:r>
      <w:bookmarkStart w:id="4" w:name="_Toc211597317"/>
    </w:p>
    <w:p w14:paraId="08E8381C">
      <w:pPr>
        <w:widowControl/>
        <w:spacing w:line="400" w:lineRule="exact"/>
      </w:pPr>
      <w:r>
        <w:rPr>
          <w:rFonts w:hint="eastAsia" w:ascii="宋体" w:hAnsi="宋体" w:cs="宋体"/>
          <w:b/>
          <w:kern w:val="0"/>
          <w:sz w:val="24"/>
          <w:shd w:val="clear" w:color="auto" w:fill="FFFFFF"/>
        </w:rPr>
        <w:t>9.1</w:t>
      </w:r>
      <w:bookmarkEnd w:id="4"/>
      <w:r>
        <w:rPr>
          <w:rFonts w:hint="eastAsia" w:ascii="宋体" w:hAnsi="宋体" w:cs="宋体"/>
          <w:b/>
          <w:kern w:val="0"/>
          <w:sz w:val="24"/>
          <w:shd w:val="clear" w:color="auto" w:fill="FFFFFF"/>
        </w:rPr>
        <w:t>采购结果确认</w:t>
      </w:r>
    </w:p>
    <w:p w14:paraId="7281A087">
      <w:pPr>
        <w:widowControl/>
        <w:spacing w:line="400" w:lineRule="exact"/>
        <w:jc w:val="left"/>
      </w:pPr>
      <w:r>
        <w:rPr>
          <w:rFonts w:hint="eastAsia" w:ascii="宋体" w:hAnsi="宋体" w:cs="宋体"/>
          <w:kern w:val="0"/>
          <w:sz w:val="24"/>
          <w:shd w:val="clear" w:color="auto" w:fill="FFFFFF"/>
        </w:rPr>
        <w:t>9.1．1</w:t>
      </w:r>
      <w:bookmarkStart w:id="5" w:name="_Toc211597318"/>
      <w:r>
        <w:rPr>
          <w:rFonts w:hint="eastAsia" w:ascii="宋体" w:hAnsi="宋体" w:cs="宋体"/>
          <w:kern w:val="0"/>
          <w:sz w:val="24"/>
          <w:shd w:val="clear" w:color="auto" w:fill="FFFFFF"/>
        </w:rPr>
        <w:t>采购代理机构在谈判结束后2个工作日内将评审报告送达采购人。采购人应当在收到评审报告后5个工作日内，按照评审报告中推荐的成交候选人顺序确定成交供应商。</w:t>
      </w:r>
    </w:p>
    <w:p w14:paraId="04239868">
      <w:pPr>
        <w:widowControl/>
        <w:spacing w:line="400" w:lineRule="exact"/>
        <w:jc w:val="left"/>
      </w:pPr>
      <w:r>
        <w:rPr>
          <w:rFonts w:hint="eastAsia" w:ascii="宋体" w:hAnsi="宋体" w:cs="宋体"/>
          <w:kern w:val="0"/>
          <w:sz w:val="24"/>
          <w:shd w:val="clear" w:color="auto" w:fill="FFFFFF"/>
        </w:rPr>
        <w:t>9.1.2成交候选人因不可抗力或者自身原因不能成为</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的，采购人可以按评审报告中的候选人排名顺序重新确定</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，或重新组织采购。</w:t>
      </w:r>
    </w:p>
    <w:p w14:paraId="1ACF367C">
      <w:pPr>
        <w:widowControl/>
        <w:spacing w:line="400" w:lineRule="exact"/>
      </w:pPr>
      <w:r>
        <w:rPr>
          <w:rFonts w:hint="eastAsia" w:ascii="宋体" w:hAnsi="宋体" w:cs="宋体"/>
          <w:kern w:val="0"/>
          <w:sz w:val="24"/>
          <w:shd w:val="clear" w:color="auto" w:fill="FFFFFF"/>
        </w:rPr>
        <w:t>9.1.3在成交通知书发出之前的任何时候，采购人和采购代理机构有依法取消本次招标的权力，对因此而受影响的供应商不承担任何责任，也没有义务向受影响的供应商解释采取这一行动的理由。</w:t>
      </w:r>
    </w:p>
    <w:p w14:paraId="24D7EB9F">
      <w:pPr>
        <w:widowControl/>
        <w:spacing w:line="400" w:lineRule="exact"/>
      </w:pPr>
      <w:r>
        <w:rPr>
          <w:rFonts w:hint="eastAsia" w:ascii="宋体" w:hAnsi="宋体" w:cs="宋体"/>
          <w:b/>
          <w:kern w:val="0"/>
          <w:sz w:val="24"/>
          <w:shd w:val="clear" w:color="auto" w:fill="FFFFFF"/>
        </w:rPr>
        <w:t>9</w:t>
      </w:r>
      <w:r>
        <w:rPr>
          <w:rFonts w:hint="eastAsia" w:ascii="宋体" w:hAnsi="宋体" w:cs="宋体"/>
          <w:b/>
          <w:color w:val="000000"/>
          <w:kern w:val="0"/>
          <w:sz w:val="24"/>
          <w:shd w:val="clear" w:color="auto" w:fill="FFFFFF"/>
        </w:rPr>
        <w:t>.2</w:t>
      </w:r>
      <w:r>
        <w:rPr>
          <w:rFonts w:hint="eastAsia" w:ascii="宋体" w:hAnsi="宋体" w:cs="宋体"/>
          <w:b/>
          <w:kern w:val="0"/>
          <w:sz w:val="24"/>
          <w:shd w:val="clear" w:color="auto" w:fill="FFFFFF"/>
        </w:rPr>
        <w:t>成交结果公告</w:t>
      </w:r>
      <w:bookmarkEnd w:id="5"/>
    </w:p>
    <w:p w14:paraId="6D858E1B">
      <w:pPr>
        <w:widowControl/>
        <w:spacing w:line="400" w:lineRule="exact"/>
      </w:pPr>
      <w:r>
        <w:rPr>
          <w:rFonts w:hint="eastAsia" w:ascii="宋体" w:hAnsi="宋体" w:cs="宋体"/>
          <w:color w:val="000000"/>
          <w:kern w:val="0"/>
          <w:sz w:val="24"/>
          <w:shd w:val="clear" w:color="auto" w:fill="FFFFFF"/>
        </w:rPr>
        <w:t>9.2.1在采购结果确认后，</w:t>
      </w:r>
      <w:r>
        <w:rPr>
          <w:rFonts w:hint="eastAsia" w:ascii="宋体" w:hAnsi="宋体" w:cs="宋体"/>
          <w:kern w:val="0"/>
          <w:sz w:val="24"/>
          <w:shd w:val="clear" w:color="auto" w:fill="FFFFFF"/>
        </w:rPr>
        <w:t>采购人、采购代理机构将在本项目谈判公告发布的网站发布成交结果公告，将采购结果告知采购当事人</w:t>
      </w:r>
      <w:bookmarkStart w:id="6" w:name="_Toc211597319"/>
      <w:r>
        <w:rPr>
          <w:rFonts w:hint="eastAsia" w:ascii="宋体" w:hAnsi="宋体" w:cs="宋体"/>
          <w:kern w:val="0"/>
          <w:sz w:val="24"/>
          <w:shd w:val="clear" w:color="auto" w:fill="FFFFFF"/>
        </w:rPr>
        <w:t>。</w:t>
      </w:r>
    </w:p>
    <w:p w14:paraId="12861975">
      <w:pPr>
        <w:widowControl/>
        <w:spacing w:line="400" w:lineRule="exact"/>
      </w:pPr>
      <w:r>
        <w:rPr>
          <w:rFonts w:hint="eastAsia" w:ascii="宋体" w:hAnsi="宋体" w:cs="宋体"/>
          <w:b/>
          <w:kern w:val="0"/>
          <w:sz w:val="24"/>
          <w:shd w:val="clear" w:color="auto" w:fill="FFFFFF"/>
        </w:rPr>
        <w:t>9.3成交通知</w:t>
      </w:r>
    </w:p>
    <w:p w14:paraId="229450F9">
      <w:pPr>
        <w:widowControl/>
        <w:spacing w:line="400" w:lineRule="exact"/>
      </w:pPr>
      <w:r>
        <w:rPr>
          <w:rFonts w:hint="eastAsia" w:ascii="宋体" w:hAnsi="宋体" w:cs="宋体"/>
          <w:kern w:val="0"/>
          <w:sz w:val="24"/>
          <w:shd w:val="clear" w:color="auto" w:fill="FFFFFF"/>
        </w:rPr>
        <w:t>9.3.1在发布成交公告的同时，采购人、采购代理机构通过系统软件向</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发出成交通知书签收通知。</w:t>
      </w:r>
    </w:p>
    <w:p w14:paraId="09B72E0C">
      <w:pPr>
        <w:widowControl/>
        <w:spacing w:line="400" w:lineRule="exact"/>
      </w:pPr>
      <w:r>
        <w:rPr>
          <w:rFonts w:hint="eastAsia" w:ascii="宋体" w:hAnsi="宋体" w:cs="宋体"/>
          <w:kern w:val="0"/>
          <w:sz w:val="24"/>
          <w:shd w:val="clear" w:color="auto" w:fill="FFFFFF"/>
        </w:rPr>
        <w:t>9.3.2</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授权代表凭《成交通知书》与采购人签订政府采购合同。</w:t>
      </w:r>
    </w:p>
    <w:p w14:paraId="1E123CF2">
      <w:pPr>
        <w:widowControl/>
        <w:tabs>
          <w:tab w:val="left" w:pos="8280"/>
        </w:tabs>
        <w:spacing w:line="400" w:lineRule="exact"/>
        <w:jc w:val="left"/>
      </w:pPr>
      <w:r>
        <w:rPr>
          <w:rFonts w:hint="eastAsia" w:ascii="宋体" w:hAnsi="宋体" w:cs="宋体"/>
          <w:kern w:val="0"/>
          <w:sz w:val="24"/>
          <w:shd w:val="clear" w:color="auto" w:fill="FFFFFF"/>
        </w:rPr>
        <w:t>9.3.3《成交通知书》对采购人和</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具有同等法律效力。《成交通知书》发出后，采购人改变成交结果，或者</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rPr>
        <w:t>放弃成交的，都应承担相应的法律责任。</w:t>
      </w:r>
      <w:bookmarkEnd w:id="6"/>
    </w:p>
    <w:p w14:paraId="3D4406BF">
      <w:pPr>
        <w:widowControl/>
        <w:tabs>
          <w:tab w:val="left" w:pos="8280"/>
        </w:tabs>
        <w:spacing w:line="400" w:lineRule="exact"/>
        <w:jc w:val="left"/>
      </w:pPr>
      <w:bookmarkStart w:id="7" w:name="_Toc211597320"/>
      <w:r>
        <w:rPr>
          <w:rFonts w:hint="eastAsia" w:ascii="宋体" w:hAnsi="宋体" w:cs="宋体"/>
          <w:b/>
          <w:kern w:val="0"/>
          <w:sz w:val="24"/>
          <w:shd w:val="clear" w:color="auto" w:fill="FFFFFF"/>
        </w:rPr>
        <w:t>10、签订合同</w:t>
      </w:r>
      <w:bookmarkEnd w:id="7"/>
    </w:p>
    <w:p w14:paraId="5AB976CA">
      <w:pPr>
        <w:widowControl/>
        <w:tabs>
          <w:tab w:val="left" w:pos="8280"/>
        </w:tabs>
        <w:spacing w:line="400" w:lineRule="exact"/>
        <w:jc w:val="left"/>
      </w:pPr>
      <w:r>
        <w:rPr>
          <w:rFonts w:hint="eastAsia" w:ascii="宋体" w:hAnsi="宋体" w:cs="宋体"/>
          <w:color w:val="000000"/>
          <w:kern w:val="0"/>
          <w:sz w:val="24"/>
          <w:shd w:val="clear" w:color="auto" w:fill="FFFFFF"/>
        </w:rPr>
        <w:t>10.1成交供应商在收到《成交通知书》后，应按照《成交通知书》中指定的时间、地点，派遣其授权代表与采购人签署合同。</w:t>
      </w:r>
    </w:p>
    <w:p w14:paraId="61648A31">
      <w:pPr>
        <w:widowControl/>
        <w:adjustRightInd w:val="0"/>
        <w:spacing w:line="400" w:lineRule="exact"/>
      </w:pPr>
      <w:r>
        <w:rPr>
          <w:rFonts w:hint="eastAsia" w:ascii="宋体" w:hAnsi="宋体" w:cs="宋体"/>
          <w:kern w:val="0"/>
          <w:sz w:val="24"/>
          <w:shd w:val="clear" w:color="auto" w:fill="FFFFFF"/>
        </w:rPr>
        <w:t>10.2</w:t>
      </w:r>
      <w:r>
        <w:rPr>
          <w:rFonts w:hint="eastAsia" w:ascii="宋体" w:hAnsi="宋体" w:cs="宋体"/>
          <w:kern w:val="0"/>
          <w:sz w:val="24"/>
          <w:shd w:val="clear" w:color="auto" w:fill="FFFFFF"/>
          <w:lang w:val="zh-CN"/>
        </w:rPr>
        <w:t>合同应写明政府采购编号，并说明经</w:t>
      </w:r>
      <w:r>
        <w:rPr>
          <w:rFonts w:hint="eastAsia" w:ascii="宋体" w:hAnsi="宋体" w:cs="宋体"/>
          <w:sz w:val="24"/>
        </w:rPr>
        <w:t>江苏中兴迅达工程管理咨询有限公司</w:t>
      </w:r>
      <w:r>
        <w:rPr>
          <w:rFonts w:hint="eastAsia" w:ascii="宋体" w:hAnsi="宋体" w:cs="宋体"/>
          <w:kern w:val="0"/>
          <w:sz w:val="24"/>
          <w:shd w:val="clear" w:color="auto" w:fill="FFFFFF"/>
          <w:lang w:val="zh-CN"/>
        </w:rPr>
        <w:t>采取谈判的方式采购，还应提供</w:t>
      </w:r>
      <w:r>
        <w:rPr>
          <w:rFonts w:hint="eastAsia" w:ascii="宋体" w:hAnsi="宋体" w:cs="宋体"/>
          <w:color w:val="000000"/>
          <w:kern w:val="0"/>
          <w:sz w:val="24"/>
          <w:shd w:val="clear" w:color="auto" w:fill="FFFFFF"/>
        </w:rPr>
        <w:t>成交供应商</w:t>
      </w:r>
      <w:r>
        <w:rPr>
          <w:rFonts w:hint="eastAsia" w:ascii="宋体" w:hAnsi="宋体" w:cs="宋体"/>
          <w:kern w:val="0"/>
          <w:sz w:val="24"/>
          <w:shd w:val="clear" w:color="auto" w:fill="FFFFFF"/>
          <w:lang w:val="zh-CN"/>
        </w:rPr>
        <w:t>的联系方法、银行账户、账号等信息，合同不少于一式三份。</w:t>
      </w:r>
    </w:p>
    <w:p w14:paraId="3692A6A1">
      <w:pPr>
        <w:widowControl/>
        <w:adjustRightInd w:val="0"/>
        <w:spacing w:line="400" w:lineRule="exact"/>
      </w:pPr>
      <w:r>
        <w:rPr>
          <w:rFonts w:hint="eastAsia" w:ascii="宋体" w:hAnsi="宋体" w:cs="宋体"/>
          <w:kern w:val="0"/>
          <w:sz w:val="24"/>
          <w:shd w:val="clear" w:color="auto" w:fill="FFFFFF"/>
          <w:lang w:val="zh-CN"/>
        </w:rPr>
        <w:t>10.3</w:t>
      </w:r>
      <w:r>
        <w:rPr>
          <w:rFonts w:hint="eastAsia" w:ascii="宋体" w:hAnsi="宋体" w:cs="宋体"/>
          <w:color w:val="000000"/>
          <w:kern w:val="0"/>
          <w:sz w:val="24"/>
          <w:shd w:val="clear" w:color="auto" w:fill="FFFFFF"/>
        </w:rPr>
        <w:t>谈判文件、成交供应商的谈判响应文件为合同的组成部分，双方必须全面遵守，如有违反，应承担违约责任。</w:t>
      </w:r>
    </w:p>
    <w:p w14:paraId="32CEE442">
      <w:pPr>
        <w:widowControl/>
        <w:adjustRightInd w:val="0"/>
        <w:spacing w:line="400" w:lineRule="exact"/>
      </w:pPr>
      <w:r>
        <w:rPr>
          <w:rFonts w:hint="eastAsia" w:ascii="宋体" w:hAnsi="宋体" w:cs="宋体"/>
          <w:kern w:val="0"/>
          <w:sz w:val="24"/>
          <w:shd w:val="clear" w:color="auto" w:fill="FFFFFF"/>
        </w:rPr>
        <w:t>10.4采购</w:t>
      </w:r>
      <w:r>
        <w:rPr>
          <w:rFonts w:hint="eastAsia" w:ascii="宋体" w:hAnsi="宋体" w:cs="宋体"/>
          <w:kern w:val="0"/>
          <w:sz w:val="24"/>
          <w:shd w:val="clear" w:color="auto" w:fill="FFFFFF"/>
          <w:lang w:val="zh-CN"/>
        </w:rPr>
        <w:t>人在政府采购合同签订后7个工作日内将原件一份送</w:t>
      </w:r>
      <w:r>
        <w:rPr>
          <w:rFonts w:hint="eastAsia" w:ascii="宋体" w:hAnsi="宋体" w:cs="宋体"/>
          <w:sz w:val="24"/>
        </w:rPr>
        <w:t>江苏中兴迅达工程管理咨询有限公司</w:t>
      </w:r>
      <w:r>
        <w:rPr>
          <w:rFonts w:hint="eastAsia" w:ascii="宋体" w:hAnsi="宋体" w:cs="宋体"/>
          <w:kern w:val="0"/>
          <w:sz w:val="24"/>
          <w:shd w:val="clear" w:color="auto" w:fill="FFFFFF"/>
          <w:lang w:val="zh-CN"/>
        </w:rPr>
        <w:t>备案。</w:t>
      </w:r>
    </w:p>
    <w:p w14:paraId="5AF89BF5">
      <w:pPr>
        <w:widowControl/>
        <w:adjustRightInd w:val="0"/>
        <w:spacing w:line="400" w:lineRule="exact"/>
      </w:pPr>
      <w:r>
        <w:rPr>
          <w:rFonts w:hint="eastAsia" w:ascii="黑体" w:hAnsi="宋体" w:eastAsia="黑体" w:cs="黑体"/>
          <w:b/>
          <w:bCs/>
          <w:color w:val="000000"/>
          <w:kern w:val="0"/>
          <w:sz w:val="24"/>
          <w:shd w:val="clear" w:color="auto" w:fill="FFFFFF"/>
          <w:lang w:val="zh-CN"/>
        </w:rPr>
        <w:t>11、询问和质疑</w:t>
      </w:r>
    </w:p>
    <w:p w14:paraId="4E6484BE">
      <w:pPr>
        <w:spacing w:line="400" w:lineRule="exact"/>
        <w:ind w:firstLine="480" w:firstLineChars="200"/>
        <w:rPr>
          <w:rFonts w:ascii="宋体" w:hAnsi="宋体"/>
          <w:sz w:val="24"/>
        </w:rPr>
      </w:pPr>
      <w:bookmarkStart w:id="8" w:name="_Toc139529534"/>
      <w:bookmarkStart w:id="9" w:name="_Toc137820847"/>
      <w:r>
        <w:rPr>
          <w:rFonts w:hint="eastAsia" w:ascii="宋体" w:hAnsi="宋体"/>
          <w:sz w:val="24"/>
        </w:rPr>
        <w:t>11</w:t>
      </w:r>
      <w:r>
        <w:rPr>
          <w:rFonts w:ascii="宋体" w:hAnsi="宋体"/>
          <w:sz w:val="24"/>
        </w:rPr>
        <w:t xml:space="preserve">.1 </w:t>
      </w:r>
      <w:r>
        <w:rPr>
          <w:rFonts w:hint="eastAsia" w:ascii="宋体" w:hAnsi="宋体"/>
          <w:sz w:val="24"/>
        </w:rPr>
        <w:t>询问</w:t>
      </w:r>
    </w:p>
    <w:p w14:paraId="71557C3D">
      <w:pPr>
        <w:spacing w:line="400" w:lineRule="exact"/>
        <w:ind w:firstLine="480" w:firstLineChars="200"/>
        <w:rPr>
          <w:rFonts w:ascii="宋体"/>
          <w:sz w:val="24"/>
        </w:rPr>
      </w:pPr>
      <w:r>
        <w:rPr>
          <w:rFonts w:hint="eastAsia" w:ascii="宋体" w:hAnsi="宋体"/>
          <w:sz w:val="24"/>
        </w:rPr>
        <w:t>11</w:t>
      </w:r>
      <w:r>
        <w:rPr>
          <w:rFonts w:ascii="宋体" w:hAnsi="宋体"/>
          <w:sz w:val="24"/>
        </w:rPr>
        <w:t>.1.1</w:t>
      </w:r>
      <w:r>
        <w:rPr>
          <w:rFonts w:hint="eastAsia" w:ascii="宋体" w:hAnsi="宋体"/>
          <w:sz w:val="24"/>
        </w:rPr>
        <w:t>供应商对政府采购活动事项（招标文件、招标采购过程和中标结果）有疑问的，可以向采购人和采购代理机构以书面或口头方式提出询问，采购人或采购代理机构应及时做出答复，但答复的内容不涉及商业秘密。</w:t>
      </w:r>
    </w:p>
    <w:p w14:paraId="1C8FC829">
      <w:pPr>
        <w:spacing w:line="400" w:lineRule="exact"/>
        <w:ind w:firstLine="480" w:firstLineChars="200"/>
        <w:rPr>
          <w:rFonts w:ascii="宋体"/>
          <w:sz w:val="24"/>
        </w:rPr>
      </w:pPr>
      <w:r>
        <w:rPr>
          <w:rFonts w:hint="eastAsia" w:ascii="宋体" w:hAnsi="宋体"/>
          <w:sz w:val="24"/>
        </w:rPr>
        <w:t>11</w:t>
      </w:r>
      <w:r>
        <w:rPr>
          <w:rFonts w:ascii="宋体" w:hAnsi="宋体"/>
          <w:sz w:val="24"/>
        </w:rPr>
        <w:t xml:space="preserve">.2 </w:t>
      </w:r>
      <w:r>
        <w:rPr>
          <w:rFonts w:hint="eastAsia" w:ascii="宋体" w:hAnsi="宋体"/>
          <w:sz w:val="24"/>
        </w:rPr>
        <w:t>质疑</w:t>
      </w:r>
    </w:p>
    <w:p w14:paraId="2E593EFC">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.2.1</w:t>
      </w:r>
      <w:r>
        <w:rPr>
          <w:rFonts w:hint="eastAsia" w:ascii="宋体" w:hAnsi="宋体"/>
          <w:sz w:val="24"/>
        </w:rPr>
        <w:t>投标供应商认为招标文件使自己的权益受到损害的，可以在知道或应知其权益受到损害之日起</w:t>
      </w:r>
      <w:r>
        <w:rPr>
          <w:rFonts w:ascii="宋体" w:hAnsi="宋体"/>
          <w:sz w:val="24"/>
        </w:rPr>
        <w:t>7</w:t>
      </w:r>
      <w:r>
        <w:rPr>
          <w:rFonts w:hint="eastAsia" w:ascii="宋体" w:hAnsi="宋体"/>
          <w:sz w:val="24"/>
        </w:rPr>
        <w:t>个工作日内，以书面形式、一次性地向采购人提出质疑；投标供应商认为采购过程或中标结果使自己的权益受到损害的，可以在知道或应知其权益受到损害之日起</w:t>
      </w:r>
      <w:r>
        <w:rPr>
          <w:rFonts w:ascii="宋体" w:hAnsi="宋体"/>
          <w:sz w:val="24"/>
        </w:rPr>
        <w:t>7</w:t>
      </w:r>
      <w:r>
        <w:rPr>
          <w:rFonts w:hint="eastAsia" w:ascii="宋体" w:hAnsi="宋体"/>
          <w:sz w:val="24"/>
        </w:rPr>
        <w:t>个工作日内，以书面形式、一次性地向本中心提出质疑。</w:t>
      </w:r>
    </w:p>
    <w:p w14:paraId="6F517391">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.2.2</w:t>
      </w:r>
      <w:r>
        <w:rPr>
          <w:rFonts w:hint="eastAsia" w:ascii="宋体" w:hAnsi="宋体"/>
          <w:sz w:val="24"/>
        </w:rPr>
        <w:t>质疑函格式见：</w:t>
      </w:r>
    </w:p>
    <w:p w14:paraId="2D248C4F">
      <w:pPr>
        <w:spacing w:line="400" w:lineRule="exact"/>
        <w:ind w:firstLine="420" w:firstLineChars="200"/>
        <w:rPr>
          <w:rFonts w:ascii="宋体" w:hAnsi="宋体" w:cs="宋体"/>
          <w:color w:val="0000FF"/>
        </w:rPr>
      </w:pPr>
      <w:r>
        <w:rPr>
          <w:rFonts w:hint="eastAsia" w:ascii="宋体" w:hAnsi="宋体" w:cs="宋体"/>
          <w:color w:val="0000FF"/>
        </w:rPr>
        <w:t>http://www.xzggzy.com.cn/xxfzx/036006/036006006/supervisexinyiInfo.html</w:t>
      </w:r>
    </w:p>
    <w:p w14:paraId="4ECBDF71">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3采购人收到质疑函后，将对质疑的形式和内容进行审查，如质疑函内容、格式不符合规定，采购人将告知质疑人在质疑期限截止前进行补正。</w:t>
      </w:r>
    </w:p>
    <w:p w14:paraId="42D7BC25">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4不予受理的质疑</w:t>
      </w:r>
    </w:p>
    <w:p w14:paraId="453E2DC7">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w:t>
      </w:r>
      <w:r>
        <w:rPr>
          <w:rFonts w:ascii="宋体" w:hAnsi="宋体"/>
          <w:sz w:val="24"/>
        </w:rPr>
        <w:t>.1</w:t>
      </w:r>
      <w:r>
        <w:rPr>
          <w:rFonts w:hint="eastAsia" w:ascii="宋体" w:hAnsi="宋体"/>
          <w:sz w:val="24"/>
        </w:rPr>
        <w:t>未参加</w:t>
      </w:r>
      <w:r>
        <w:rPr>
          <w:rFonts w:ascii="宋体" w:hAnsi="宋体"/>
          <w:sz w:val="24"/>
        </w:rPr>
        <w:t>所质疑项目采购活动的</w:t>
      </w:r>
      <w:r>
        <w:rPr>
          <w:rFonts w:hint="eastAsia" w:ascii="宋体" w:hAnsi="宋体"/>
          <w:sz w:val="24"/>
        </w:rPr>
        <w:t>或在投标活动中自身权益未受到损害的供应商，所提出的针对采购过程和中标结果的质疑；</w:t>
      </w:r>
    </w:p>
    <w:p w14:paraId="77884283">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w:t>
      </w:r>
      <w:r>
        <w:rPr>
          <w:rFonts w:ascii="宋体" w:hAnsi="宋体"/>
          <w:sz w:val="24"/>
        </w:rPr>
        <w:t>.2</w:t>
      </w:r>
      <w:r>
        <w:rPr>
          <w:rFonts w:hint="eastAsia" w:ascii="宋体" w:hAnsi="宋体"/>
          <w:sz w:val="24"/>
        </w:rPr>
        <w:t>对不可质疑事项，如：采购预算、评标过程具体细节、采购活动记录、定标文件、其他投标人投标文件（开标及中标时公开的内容除外）提出的质疑；</w:t>
      </w:r>
    </w:p>
    <w:p w14:paraId="16A388C2">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w:t>
      </w:r>
      <w:r>
        <w:rPr>
          <w:rFonts w:ascii="宋体" w:hAnsi="宋体"/>
          <w:sz w:val="24"/>
        </w:rPr>
        <w:t>.3</w:t>
      </w:r>
      <w:r>
        <w:rPr>
          <w:rFonts w:hint="eastAsia" w:ascii="宋体" w:hAnsi="宋体"/>
          <w:sz w:val="24"/>
        </w:rPr>
        <w:t>质疑期以外的或供应商对同一</w:t>
      </w:r>
      <w:r>
        <w:rPr>
          <w:rFonts w:ascii="宋体" w:hAnsi="宋体"/>
          <w:sz w:val="24"/>
        </w:rPr>
        <w:t>采购程序环节</w:t>
      </w:r>
      <w:r>
        <w:rPr>
          <w:rFonts w:hint="eastAsia" w:ascii="宋体" w:hAnsi="宋体"/>
          <w:sz w:val="24"/>
        </w:rPr>
        <w:t>的多次质疑；</w:t>
      </w:r>
    </w:p>
    <w:p w14:paraId="4699C185">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w:t>
      </w:r>
      <w:r>
        <w:rPr>
          <w:rFonts w:ascii="宋体" w:hAnsi="宋体"/>
          <w:sz w:val="24"/>
        </w:rPr>
        <w:t>.4</w:t>
      </w:r>
      <w:r>
        <w:rPr>
          <w:rFonts w:hint="eastAsia" w:ascii="宋体" w:hAnsi="宋体"/>
          <w:sz w:val="24"/>
        </w:rPr>
        <w:t>质疑函需要补正，但质疑供应商拒不补正或者在法定期限内未重新提交质疑函的。</w:t>
      </w:r>
    </w:p>
    <w:p w14:paraId="7394A216">
      <w:pPr>
        <w:spacing w:line="400" w:lineRule="exact"/>
        <w:ind w:firstLine="480" w:firstLineChars="200"/>
        <w:rPr>
          <w:rFonts w:ascii="宋体" w:hAnsi="宋体"/>
          <w:sz w:val="24"/>
        </w:rPr>
      </w:pPr>
      <w:r>
        <w:rPr>
          <w:rFonts w:hint="eastAsia" w:ascii="宋体" w:hAnsi="宋体"/>
          <w:sz w:val="24"/>
        </w:rPr>
        <w:t>11</w:t>
      </w:r>
      <w:r>
        <w:rPr>
          <w:rFonts w:ascii="宋体" w:hAnsi="宋体"/>
          <w:sz w:val="24"/>
        </w:rPr>
        <w:t>.2.</w:t>
      </w:r>
      <w:r>
        <w:rPr>
          <w:rFonts w:hint="eastAsia" w:ascii="宋体" w:hAnsi="宋体"/>
          <w:sz w:val="24"/>
        </w:rPr>
        <w:t>4.5质疑供应商提出书面质疑必须有理、有据，不得恶意质疑或提交虚假质疑。否则，一经查实，采购人和采购代理机构有权依据政府采购的有关规定，报请政府采购监管部门对该质疑供应商进行相应的行政处罚。</w:t>
      </w:r>
    </w:p>
    <w:p w14:paraId="0AEC9751">
      <w:pPr>
        <w:spacing w:line="400" w:lineRule="exact"/>
        <w:ind w:firstLine="482" w:firstLineChars="200"/>
        <w:rPr>
          <w:rFonts w:ascii="宋体"/>
          <w:b/>
          <w:sz w:val="24"/>
        </w:rPr>
      </w:pPr>
      <w:r>
        <w:rPr>
          <w:rFonts w:hint="eastAsia" w:ascii="宋体" w:hAnsi="宋体"/>
          <w:b/>
          <w:sz w:val="24"/>
        </w:rPr>
        <w:t>11</w:t>
      </w:r>
      <w:r>
        <w:rPr>
          <w:rFonts w:ascii="宋体" w:hAnsi="宋体"/>
          <w:b/>
          <w:sz w:val="24"/>
        </w:rPr>
        <w:t>.3</w:t>
      </w:r>
      <w:r>
        <w:rPr>
          <w:rFonts w:hint="eastAsia" w:ascii="宋体" w:hAnsi="宋体"/>
          <w:b/>
          <w:sz w:val="24"/>
        </w:rPr>
        <w:t>投诉</w:t>
      </w:r>
    </w:p>
    <w:p w14:paraId="16CE7C22">
      <w:pPr>
        <w:spacing w:line="400" w:lineRule="exact"/>
        <w:ind w:firstLine="480" w:firstLineChars="200"/>
        <w:rPr>
          <w:rFonts w:ascii="宋体" w:hAnsi="宋体" w:cs="宋体"/>
          <w:sz w:val="24"/>
        </w:rPr>
      </w:pPr>
      <w:r>
        <w:rPr>
          <w:rFonts w:hint="eastAsia" w:ascii="宋体" w:hAnsi="宋体"/>
          <w:sz w:val="24"/>
        </w:rPr>
        <w:t>11</w:t>
      </w:r>
      <w:r>
        <w:rPr>
          <w:rFonts w:ascii="宋体" w:hAnsi="宋体"/>
          <w:sz w:val="24"/>
        </w:rPr>
        <w:t>.3.1</w:t>
      </w:r>
      <w:r>
        <w:rPr>
          <w:rFonts w:hint="eastAsia" w:ascii="宋体" w:hAnsi="宋体" w:cs="宋体"/>
          <w:sz w:val="24"/>
        </w:rPr>
        <w:t>质疑供应商对采购人、采购代理机构的答复不满意或者采购人、采购代理机构未在规定时间内作出答复的，可以在答复期满后15个工作日内向财政部门提起投诉。</w:t>
      </w:r>
    </w:p>
    <w:p w14:paraId="331B9875">
      <w:pPr>
        <w:spacing w:line="400" w:lineRule="exact"/>
        <w:rPr>
          <w:rFonts w:ascii="宋体" w:hAnsi="宋体" w:cs="宋体"/>
          <w:sz w:val="24"/>
        </w:rPr>
      </w:pPr>
      <w:r>
        <w:rPr>
          <w:rFonts w:hint="eastAsia" w:ascii="宋体" w:hAnsi="宋体" w:cs="宋体"/>
          <w:sz w:val="24"/>
        </w:rPr>
        <w:t>投诉受理单位：新沂市财政局政府采购管理科 </w:t>
      </w:r>
    </w:p>
    <w:p w14:paraId="54DAE001">
      <w:pPr>
        <w:spacing w:line="400" w:lineRule="exact"/>
        <w:rPr>
          <w:rFonts w:ascii="宋体" w:hAnsi="宋体" w:cs="宋体"/>
          <w:sz w:val="24"/>
        </w:rPr>
      </w:pPr>
      <w:r>
        <w:rPr>
          <w:rFonts w:hint="eastAsia" w:ascii="宋体" w:hAnsi="宋体" w:cs="宋体"/>
          <w:sz w:val="24"/>
        </w:rPr>
        <w:t>联系电话：0516-80327029</w:t>
      </w:r>
    </w:p>
    <w:p w14:paraId="2CA8FE8F">
      <w:pPr>
        <w:spacing w:line="400" w:lineRule="exact"/>
        <w:rPr>
          <w:rFonts w:ascii="宋体" w:hAnsi="宋体" w:cs="宋体"/>
          <w:sz w:val="24"/>
        </w:rPr>
      </w:pPr>
      <w:r>
        <w:rPr>
          <w:rFonts w:hint="eastAsia" w:ascii="宋体" w:hAnsi="宋体" w:cs="宋体"/>
          <w:sz w:val="24"/>
        </w:rPr>
        <w:t>地址：新沂市钟吾南路18号</w:t>
      </w:r>
    </w:p>
    <w:p w14:paraId="3D376E25">
      <w:pPr>
        <w:spacing w:line="400" w:lineRule="exact"/>
        <w:rPr>
          <w:rFonts w:ascii="宋体" w:hAnsi="宋体" w:cs="宋体"/>
          <w:sz w:val="24"/>
        </w:rPr>
      </w:pPr>
      <w:r>
        <w:rPr>
          <w:rFonts w:hint="eastAsia" w:ascii="宋体" w:hAnsi="宋体" w:cs="宋体"/>
          <w:sz w:val="24"/>
        </w:rPr>
        <w:t>邮编：221400</w:t>
      </w:r>
    </w:p>
    <w:p w14:paraId="1E208BCA">
      <w:pPr>
        <w:pStyle w:val="22"/>
        <w:autoSpaceDE/>
        <w:autoSpaceDN/>
        <w:adjustRightInd/>
        <w:spacing w:line="400" w:lineRule="exact"/>
        <w:ind w:firstLine="0" w:firstLineChars="0"/>
        <w:rPr>
          <w:rFonts w:cs="Times New Roman"/>
          <w:b w:val="0"/>
          <w:bCs w:val="0"/>
          <w:szCs w:val="24"/>
          <w:lang w:val="en-US"/>
        </w:rPr>
      </w:pPr>
      <w:r>
        <w:rPr>
          <w:rFonts w:hint="eastAsia" w:cs="Times New Roman"/>
          <w:b w:val="0"/>
          <w:bCs w:val="0"/>
          <w:szCs w:val="24"/>
          <w:lang w:val="en-US"/>
        </w:rPr>
        <w:t>政府采购投诉网上平台，请登陆江苏政务服务网站（</w:t>
      </w:r>
      <w:r>
        <w:rPr>
          <w:rFonts w:hint="eastAsia" w:cs="Times New Roman"/>
          <w:b w:val="0"/>
          <w:bCs w:val="0"/>
          <w:szCs w:val="24"/>
          <w:lang w:val="en-US"/>
        </w:rPr>
        <w:drawing>
          <wp:inline distT="0" distB="0" distL="114300" distR="114300">
            <wp:extent cx="190500" cy="1428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90500" cy="142875"/>
                    </a:xfrm>
                    <a:prstGeom prst="rect">
                      <a:avLst/>
                    </a:prstGeom>
                    <a:noFill/>
                    <a:ln>
                      <a:noFill/>
                    </a:ln>
                  </pic:spPr>
                </pic:pic>
              </a:graphicData>
            </a:graphic>
          </wp:inline>
        </w:drawing>
      </w:r>
      <w:r>
        <w:rPr>
          <w:rFonts w:hint="eastAsia" w:cs="Times New Roman"/>
          <w:b w:val="0"/>
          <w:bCs w:val="0"/>
          <w:szCs w:val="24"/>
          <w:lang w:val="en-US"/>
        </w:rPr>
        <w:t>http://xzxy.jszwfw.gov.cn），选择新沂市--法人服务--按部门--市财政局--政府采购投诉处理--在线办理。（注意在线办理前须注册江苏政务服务网站帐号）。</w:t>
      </w:r>
    </w:p>
    <w:p w14:paraId="4C1A0AEF">
      <w:pPr>
        <w:spacing w:line="400" w:lineRule="exact"/>
        <w:ind w:firstLine="480" w:firstLineChars="200"/>
        <w:rPr>
          <w:rFonts w:ascii="宋体" w:hAnsi="宋体"/>
          <w:sz w:val="24"/>
        </w:rPr>
      </w:pPr>
      <w:r>
        <w:rPr>
          <w:rFonts w:hint="eastAsia" w:ascii="宋体" w:hAnsi="宋体"/>
          <w:sz w:val="24"/>
        </w:rPr>
        <w:t>11.3.2投诉书格式见：</w:t>
      </w:r>
    </w:p>
    <w:p w14:paraId="5D1DE91E">
      <w:pPr>
        <w:spacing w:line="400" w:lineRule="exact"/>
        <w:ind w:firstLine="420" w:firstLineChars="200"/>
        <w:rPr>
          <w:rFonts w:ascii="宋体" w:hAnsi="宋体" w:cs="宋体"/>
          <w:color w:val="0000FF"/>
        </w:rPr>
      </w:pPr>
      <w:r>
        <w:fldChar w:fldCharType="begin"/>
      </w:r>
      <w:r>
        <w:instrText xml:space="preserve"> HYPERLINK "http://www.xzggzy.com.cn/xxfzx/036006/036006006/supervisexinyiInfo.html" </w:instrText>
      </w:r>
      <w:r>
        <w:fldChar w:fldCharType="separate"/>
      </w:r>
      <w:r>
        <w:rPr>
          <w:rStyle w:val="33"/>
          <w:rFonts w:hint="eastAsia" w:ascii="宋体" w:hAnsi="宋体" w:cs="宋体"/>
        </w:rPr>
        <w:t>http://www.xzggzy.com.cn/xxfzx/036006/036006006/supervisexinyiInfo.html</w:t>
      </w:r>
      <w:r>
        <w:rPr>
          <w:rStyle w:val="33"/>
          <w:rFonts w:hint="eastAsia" w:ascii="宋体" w:hAnsi="宋体" w:cs="宋体"/>
        </w:rPr>
        <w:fldChar w:fldCharType="end"/>
      </w:r>
    </w:p>
    <w:p w14:paraId="06C6E37C">
      <w:pPr>
        <w:tabs>
          <w:tab w:val="left" w:pos="6300"/>
        </w:tabs>
        <w:spacing w:line="400" w:lineRule="exact"/>
        <w:rPr>
          <w:rFonts w:ascii="黑体" w:eastAsia="黑体"/>
          <w:b/>
          <w:bCs/>
          <w:sz w:val="24"/>
        </w:rPr>
      </w:pPr>
      <w:r>
        <w:rPr>
          <w:rFonts w:hint="eastAsia" w:ascii="黑体" w:eastAsia="黑体"/>
          <w:b/>
          <w:bCs/>
          <w:sz w:val="24"/>
        </w:rPr>
        <w:t>12、关于政府采购合同线上融资的通知</w:t>
      </w:r>
    </w:p>
    <w:p w14:paraId="568EB14F">
      <w:pPr>
        <w:tabs>
          <w:tab w:val="left" w:pos="6300"/>
        </w:tabs>
        <w:spacing w:line="400" w:lineRule="exact"/>
        <w:rPr>
          <w:rFonts w:ascii="宋体" w:hAnsi="宋体" w:cs="宋体"/>
          <w:sz w:val="24"/>
        </w:rPr>
      </w:pPr>
      <w:r>
        <w:rPr>
          <w:rFonts w:hint="eastAsia" w:ascii="宋体" w:hAnsi="宋体" w:cs="宋体"/>
          <w:sz w:val="24"/>
        </w:rPr>
        <w:t>中小微企业在取得政府采购中标通知书及合同后，均可通过“徐州政府采购网”和“中征应收账款融资服务平台(www. crcrfsp. com) 向任何一家开展政府采购合同融资业务的金融机构申请办理融资业务。</w:t>
      </w:r>
    </w:p>
    <w:p w14:paraId="2A177219">
      <w:pPr>
        <w:widowControl/>
        <w:tabs>
          <w:tab w:val="left" w:pos="6300"/>
        </w:tabs>
        <w:spacing w:line="400" w:lineRule="exact"/>
      </w:pPr>
      <w:r>
        <w:rPr>
          <w:rFonts w:hint="eastAsia" w:ascii="黑体" w:hAnsi="宋体" w:eastAsia="黑体" w:cs="黑体"/>
          <w:b/>
          <w:bCs/>
          <w:kern w:val="0"/>
          <w:sz w:val="24"/>
          <w:shd w:val="clear" w:color="auto" w:fill="FFFFFF"/>
          <w:lang w:val="zh-CN"/>
        </w:rPr>
        <w:t>1</w:t>
      </w:r>
      <w:r>
        <w:rPr>
          <w:rFonts w:hint="eastAsia" w:ascii="黑体" w:hAnsi="宋体" w:eastAsia="黑体" w:cs="黑体"/>
          <w:b/>
          <w:bCs/>
          <w:kern w:val="0"/>
          <w:sz w:val="24"/>
          <w:shd w:val="clear" w:color="auto" w:fill="FFFFFF"/>
        </w:rPr>
        <w:t>3、</w:t>
      </w:r>
      <w:r>
        <w:rPr>
          <w:rFonts w:hint="eastAsia" w:ascii="黑体" w:hAnsi="宋体" w:eastAsia="黑体" w:cs="黑体"/>
          <w:b/>
          <w:bCs/>
          <w:kern w:val="0"/>
          <w:sz w:val="24"/>
          <w:shd w:val="clear" w:color="auto" w:fill="FFFFFF"/>
          <w:lang w:val="zh-CN"/>
        </w:rPr>
        <w:t>采购验收</w:t>
      </w:r>
      <w:bookmarkEnd w:id="8"/>
      <w:bookmarkEnd w:id="9"/>
    </w:p>
    <w:p w14:paraId="56CFD00A">
      <w:pPr>
        <w:widowControl/>
        <w:tabs>
          <w:tab w:val="left" w:pos="6300"/>
        </w:tabs>
        <w:spacing w:line="400" w:lineRule="exact"/>
      </w:pPr>
      <w:r>
        <w:rPr>
          <w:rFonts w:hint="eastAsia" w:ascii="宋体" w:hAnsi="宋体" w:cs="宋体"/>
          <w:color w:val="000000"/>
          <w:kern w:val="0"/>
          <w:sz w:val="24"/>
          <w:shd w:val="clear" w:color="auto" w:fill="FFFFFF"/>
        </w:rPr>
        <w:t>13.1由采购人按照采购合同规定的技术、服务等要求组织对供应商履约验收，并出具验收书，验收书应当包括每一项技术、服务等要求的履约情况。大型或者复杂的项目，可以邀请国家认可的质量检测机构参加验收，验收方成员应当在验收书上签字，并承担相应的法律责任。</w:t>
      </w:r>
    </w:p>
    <w:p w14:paraId="32B8F479">
      <w:pPr>
        <w:widowControl/>
        <w:spacing w:line="400" w:lineRule="exact"/>
      </w:pPr>
      <w:bookmarkStart w:id="10" w:name="_Toc211597325"/>
      <w:r>
        <w:rPr>
          <w:rFonts w:hint="eastAsia" w:ascii="黑体" w:hAnsi="宋体" w:eastAsia="黑体" w:cs="黑体"/>
          <w:b/>
          <w:bCs/>
          <w:kern w:val="0"/>
          <w:sz w:val="24"/>
          <w:shd w:val="clear" w:color="auto" w:fill="FFFFFF"/>
          <w:lang w:val="zh-CN"/>
        </w:rPr>
        <w:t>1</w:t>
      </w:r>
      <w:r>
        <w:rPr>
          <w:rFonts w:hint="eastAsia" w:ascii="黑体" w:hAnsi="宋体" w:eastAsia="黑体" w:cs="黑体"/>
          <w:b/>
          <w:bCs/>
          <w:kern w:val="0"/>
          <w:sz w:val="24"/>
          <w:shd w:val="clear" w:color="auto" w:fill="FFFFFF"/>
        </w:rPr>
        <w:t>4、</w:t>
      </w:r>
      <w:r>
        <w:rPr>
          <w:rFonts w:hint="eastAsia" w:ascii="黑体" w:hAnsi="宋体" w:eastAsia="黑体" w:cs="黑体"/>
          <w:kern w:val="0"/>
          <w:sz w:val="24"/>
          <w:shd w:val="clear" w:color="auto" w:fill="FFFFFF"/>
        </w:rPr>
        <w:t>谈判文件的解释权</w:t>
      </w:r>
      <w:bookmarkEnd w:id="10"/>
    </w:p>
    <w:p w14:paraId="4EC6C282">
      <w:pPr>
        <w:widowControl/>
        <w:spacing w:line="400" w:lineRule="exact"/>
        <w:rPr>
          <w:rFonts w:ascii="宋体" w:hAnsi="宋体" w:cs="宋体"/>
          <w:color w:val="000000"/>
          <w:kern w:val="0"/>
          <w:sz w:val="24"/>
          <w:shd w:val="clear" w:color="auto" w:fill="FFFFFF"/>
        </w:rPr>
      </w:pPr>
      <w:r>
        <w:rPr>
          <w:rFonts w:hint="eastAsia" w:ascii="宋体" w:hAnsi="宋体" w:cs="宋体"/>
          <w:color w:val="000000"/>
          <w:kern w:val="0"/>
          <w:sz w:val="24"/>
          <w:shd w:val="clear" w:color="auto" w:fill="FFFFFF"/>
        </w:rPr>
        <w:t>14.1本谈判文件解释权归该项目</w:t>
      </w:r>
      <w:r>
        <w:rPr>
          <w:rFonts w:hint="eastAsia" w:ascii="宋体" w:hAnsi="宋体" w:cs="宋体"/>
          <w:kern w:val="0"/>
          <w:sz w:val="24"/>
          <w:shd w:val="clear" w:color="auto" w:fill="FFFFFF"/>
        </w:rPr>
        <w:t>采购人、采购代理机构</w:t>
      </w:r>
      <w:r>
        <w:rPr>
          <w:rFonts w:hint="eastAsia" w:ascii="宋体" w:hAnsi="宋体" w:cs="宋体"/>
          <w:color w:val="000000"/>
          <w:kern w:val="0"/>
          <w:sz w:val="24"/>
          <w:shd w:val="clear" w:color="auto" w:fill="FFFFFF"/>
        </w:rPr>
        <w:t>。</w:t>
      </w:r>
    </w:p>
    <w:p w14:paraId="0CEC6EA1">
      <w:pPr>
        <w:spacing w:line="480" w:lineRule="exact"/>
        <w:rPr>
          <w:b/>
          <w:sz w:val="30"/>
          <w:szCs w:val="30"/>
        </w:rPr>
      </w:pPr>
      <w:r>
        <w:rPr>
          <w:rFonts w:hint="eastAsia" w:ascii="黑体" w:hAnsi="宋体" w:eastAsia="黑体" w:cs="黑体"/>
          <w:b/>
          <w:bCs/>
          <w:kern w:val="0"/>
          <w:sz w:val="24"/>
          <w:shd w:val="clear" w:color="auto" w:fill="FFFFFF"/>
          <w:lang w:val="zh-CN"/>
        </w:rPr>
        <w:t>1</w:t>
      </w:r>
      <w:r>
        <w:rPr>
          <w:rFonts w:hint="eastAsia" w:ascii="黑体" w:hAnsi="宋体" w:eastAsia="黑体" w:cs="黑体"/>
          <w:b/>
          <w:bCs/>
          <w:kern w:val="0"/>
          <w:sz w:val="24"/>
          <w:shd w:val="clear" w:color="auto" w:fill="FFFFFF"/>
        </w:rPr>
        <w:t>5、</w:t>
      </w:r>
      <w:r>
        <w:rPr>
          <w:rFonts w:hint="eastAsia" w:ascii="黑体" w:hAnsi="宋体" w:eastAsia="黑体" w:cs="黑体"/>
          <w:kern w:val="0"/>
          <w:sz w:val="24"/>
          <w:shd w:val="clear" w:color="auto" w:fill="FFFFFF"/>
        </w:rPr>
        <w:t>中标服务费</w:t>
      </w:r>
    </w:p>
    <w:p w14:paraId="748D5343">
      <w:pPr>
        <w:rPr>
          <w:rFonts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sz w:val="24"/>
          <w:highlight w:val="green"/>
          <w14:textFill>
            <w14:solidFill>
              <w14:schemeClr w14:val="tx1"/>
            </w14:solidFill>
          </w14:textFill>
        </w:rPr>
        <w:t>15.1中标服务费收取表：招标代理费用由采购单位支付，代理费收取3500元（不包含专家评审费）。</w:t>
      </w:r>
    </w:p>
    <w:p w14:paraId="08842956">
      <w:pPr>
        <w:pStyle w:val="10"/>
        <w:ind w:left="980" w:hanging="560"/>
        <w:rPr>
          <w:kern w:val="0"/>
          <w:sz w:val="28"/>
          <w:szCs w:val="28"/>
          <w:shd w:val="clear" w:color="auto" w:fill="FFFFFF"/>
        </w:rPr>
      </w:pPr>
      <w:bookmarkStart w:id="11" w:name="_Toc28395"/>
      <w:bookmarkStart w:id="12" w:name="_Toc246996340"/>
      <w:bookmarkStart w:id="13" w:name="_Toc179632789"/>
      <w:bookmarkStart w:id="14" w:name="_Toc296602587"/>
      <w:bookmarkStart w:id="15" w:name="_Toc144974834"/>
      <w:bookmarkStart w:id="16" w:name="_Toc152045772"/>
      <w:bookmarkStart w:id="17" w:name="_Toc152042554"/>
      <w:bookmarkStart w:id="18" w:name="_Toc246997083"/>
      <w:bookmarkStart w:id="19" w:name="_Toc247085855"/>
      <w:bookmarkStart w:id="20" w:name="_Toc521582476"/>
    </w:p>
    <w:p w14:paraId="6AE7BF48">
      <w:pPr>
        <w:pStyle w:val="10"/>
        <w:ind w:left="980" w:hanging="560"/>
        <w:rPr>
          <w:kern w:val="0"/>
          <w:sz w:val="28"/>
          <w:szCs w:val="28"/>
          <w:shd w:val="clear" w:color="auto" w:fill="FFFFFF"/>
        </w:rPr>
      </w:pPr>
    </w:p>
    <w:p w14:paraId="1DBEDB32">
      <w:pPr>
        <w:pStyle w:val="10"/>
        <w:ind w:left="980" w:hanging="560"/>
        <w:rPr>
          <w:kern w:val="0"/>
          <w:sz w:val="28"/>
          <w:szCs w:val="28"/>
          <w:shd w:val="clear" w:color="auto" w:fill="FFFFFF"/>
        </w:rPr>
      </w:pPr>
    </w:p>
    <w:p w14:paraId="71AB2656">
      <w:pPr>
        <w:pStyle w:val="10"/>
        <w:ind w:left="980" w:hanging="560"/>
        <w:rPr>
          <w:kern w:val="0"/>
          <w:sz w:val="28"/>
          <w:szCs w:val="28"/>
          <w:shd w:val="clear" w:color="auto" w:fill="FFFFFF"/>
        </w:rPr>
      </w:pPr>
    </w:p>
    <w:p w14:paraId="0D9302D4">
      <w:pPr>
        <w:pStyle w:val="10"/>
        <w:ind w:left="980" w:hanging="560"/>
        <w:rPr>
          <w:kern w:val="0"/>
          <w:sz w:val="28"/>
          <w:szCs w:val="28"/>
          <w:shd w:val="clear" w:color="auto" w:fill="FFFFFF"/>
        </w:rPr>
      </w:pPr>
    </w:p>
    <w:p w14:paraId="6704B8C4">
      <w:pPr>
        <w:pStyle w:val="10"/>
        <w:ind w:left="980" w:hanging="560"/>
        <w:rPr>
          <w:kern w:val="0"/>
          <w:sz w:val="28"/>
          <w:szCs w:val="28"/>
          <w:shd w:val="clear" w:color="auto" w:fill="FFFFFF"/>
        </w:rPr>
      </w:pPr>
    </w:p>
    <w:p w14:paraId="78827EE0">
      <w:pPr>
        <w:pStyle w:val="2"/>
        <w:widowControl/>
        <w:jc w:val="center"/>
        <w:rPr>
          <w:rFonts w:cs="宋体"/>
          <w:color w:val="000000"/>
          <w:sz w:val="36"/>
          <w:szCs w:val="36"/>
          <w:shd w:val="clear" w:color="auto" w:fill="FFFFFF"/>
        </w:rPr>
      </w:pPr>
      <w:r>
        <w:rPr>
          <w:rFonts w:cs="宋体"/>
          <w:color w:val="000000"/>
          <w:sz w:val="36"/>
          <w:szCs w:val="36"/>
          <w:shd w:val="clear" w:color="auto" w:fill="FFFFFF"/>
        </w:rPr>
        <w:t>第三章 项目采购需求</w:t>
      </w:r>
      <w:bookmarkEnd w:id="11"/>
    </w:p>
    <w:bookmarkEnd w:id="12"/>
    <w:bookmarkEnd w:id="13"/>
    <w:bookmarkEnd w:id="14"/>
    <w:bookmarkEnd w:id="15"/>
    <w:bookmarkEnd w:id="16"/>
    <w:bookmarkEnd w:id="17"/>
    <w:bookmarkEnd w:id="18"/>
    <w:bookmarkEnd w:id="19"/>
    <w:p w14:paraId="0ED9DCBF">
      <w:pPr>
        <w:spacing w:line="520" w:lineRule="exact"/>
        <w:ind w:firstLine="560" w:firstLineChars="200"/>
        <w:rPr>
          <w:rFonts w:ascii="宋体" w:hAnsi="宋体"/>
          <w:b/>
          <w:bCs/>
          <w:kern w:val="44"/>
          <w:sz w:val="28"/>
          <w:szCs w:val="48"/>
        </w:rPr>
      </w:pPr>
      <w:r>
        <w:rPr>
          <w:rFonts w:hint="eastAsia" w:ascii="宋体" w:hAnsi="宋体"/>
          <w:sz w:val="28"/>
          <w:szCs w:val="28"/>
        </w:rPr>
        <w:t>一、</w:t>
      </w:r>
      <w:r>
        <w:rPr>
          <w:rFonts w:hint="eastAsia" w:ascii="宋体" w:hAnsi="宋体"/>
          <w:b/>
          <w:bCs/>
          <w:kern w:val="44"/>
          <w:sz w:val="28"/>
          <w:szCs w:val="48"/>
        </w:rPr>
        <w:t>项目概况</w:t>
      </w:r>
    </w:p>
    <w:p w14:paraId="458D13E0">
      <w:pPr>
        <w:tabs>
          <w:tab w:val="left" w:pos="6300"/>
        </w:tabs>
        <w:spacing w:line="400" w:lineRule="exact"/>
        <w:ind w:firstLine="480" w:firstLineChars="200"/>
        <w:rPr>
          <w:rFonts w:ascii="宋体" w:hAnsi="宋体" w:cs="宋体"/>
          <w:sz w:val="24"/>
        </w:rPr>
      </w:pPr>
      <w:r>
        <w:rPr>
          <w:rFonts w:hint="eastAsia" w:ascii="宋体" w:hAnsi="宋体" w:cs="宋体"/>
          <w:sz w:val="24"/>
        </w:rPr>
        <w:t>新沂市第六中学教室监控设备项目，包含教室新建监控、机房存储扩容两部分，整套系统符合校园安防国标，实现教室全覆盖、视频存储不少于60天，支持手机、电脑远程调取回放。本项目招标控制价约7万元，最终价格以中标单位签订合同价格为准。</w:t>
      </w:r>
    </w:p>
    <w:p w14:paraId="227327FB">
      <w:pPr>
        <w:tabs>
          <w:tab w:val="left" w:pos="6300"/>
        </w:tabs>
        <w:spacing w:line="400" w:lineRule="exact"/>
        <w:ind w:firstLine="480" w:firstLineChars="200"/>
        <w:rPr>
          <w:rFonts w:ascii="宋体" w:hAnsi="宋体" w:cs="宋体"/>
          <w:sz w:val="24"/>
        </w:rPr>
      </w:pPr>
      <w:r>
        <w:rPr>
          <w:rFonts w:hint="eastAsia" w:ascii="宋体" w:hAnsi="宋体" w:cs="宋体"/>
          <w:sz w:val="24"/>
        </w:rPr>
        <w:t>1、项目名称：新沂市第六中学教室监控设备项目</w:t>
      </w:r>
    </w:p>
    <w:p w14:paraId="26854F63">
      <w:pPr>
        <w:tabs>
          <w:tab w:val="left" w:pos="6300"/>
        </w:tabs>
        <w:spacing w:line="400" w:lineRule="exact"/>
        <w:ind w:firstLine="480" w:firstLineChars="200"/>
        <w:rPr>
          <w:rFonts w:ascii="宋体" w:hAnsi="宋体" w:cs="宋体"/>
          <w:sz w:val="24"/>
        </w:rPr>
      </w:pPr>
      <w:r>
        <w:rPr>
          <w:rFonts w:hint="eastAsia" w:ascii="宋体" w:hAnsi="宋体" w:cs="宋体"/>
          <w:sz w:val="24"/>
        </w:rPr>
        <w:t>2、采购人：新沂市第六中学</w:t>
      </w:r>
    </w:p>
    <w:p w14:paraId="2659FAF6">
      <w:pPr>
        <w:tabs>
          <w:tab w:val="left" w:pos="6300"/>
        </w:tabs>
        <w:spacing w:line="400" w:lineRule="exact"/>
        <w:ind w:firstLine="480" w:firstLineChars="200"/>
        <w:rPr>
          <w:rFonts w:ascii="宋体" w:hAnsi="宋体" w:cs="宋体"/>
          <w:sz w:val="24"/>
        </w:rPr>
      </w:pPr>
      <w:r>
        <w:rPr>
          <w:rFonts w:hint="eastAsia" w:ascii="宋体" w:hAnsi="宋体" w:cs="宋体"/>
          <w:sz w:val="24"/>
        </w:rPr>
        <w:t xml:space="preserve">3、本项目不接受超过 </w:t>
      </w:r>
      <w:r>
        <w:rPr>
          <w:rFonts w:ascii="宋体" w:hAnsi="宋体" w:cs="宋体"/>
          <w:sz w:val="24"/>
        </w:rPr>
        <w:t>7</w:t>
      </w:r>
      <w:r>
        <w:rPr>
          <w:rFonts w:hint="eastAsia" w:ascii="宋体" w:hAnsi="宋体" w:cs="宋体"/>
          <w:sz w:val="24"/>
        </w:rPr>
        <w:t>万元 （采购项目预算金额）的投标报价；</w:t>
      </w:r>
    </w:p>
    <w:p w14:paraId="6DB96354">
      <w:pPr>
        <w:tabs>
          <w:tab w:val="left" w:pos="6300"/>
        </w:tabs>
        <w:spacing w:line="400" w:lineRule="exact"/>
        <w:ind w:firstLine="480" w:firstLineChars="200"/>
        <w:rPr>
          <w:rFonts w:ascii="宋体" w:hAnsi="宋体" w:cs="宋体"/>
          <w:sz w:val="24"/>
        </w:rPr>
      </w:pPr>
      <w:r>
        <w:rPr>
          <w:rFonts w:hint="eastAsia" w:ascii="宋体" w:hAnsi="宋体" w:cs="宋体"/>
          <w:sz w:val="24"/>
        </w:rPr>
        <w:t>（备注：投标报价包括产品价、税金、运费、安装调试、检验、保险、验收、等完成本项目的全部费用）。</w:t>
      </w:r>
    </w:p>
    <w:p w14:paraId="6ED91FEA">
      <w:pPr>
        <w:pStyle w:val="3"/>
        <w:wordWrap w:val="0"/>
        <w:spacing w:before="0" w:after="0"/>
        <w:rPr>
          <w:rFonts w:asciiTheme="majorEastAsia" w:hAnsiTheme="majorEastAsia" w:eastAsiaTheme="majorEastAsia" w:cstheme="majorEastAsia"/>
          <w:sz w:val="24"/>
        </w:rPr>
      </w:pPr>
      <w:r>
        <w:rPr>
          <w:rFonts w:hint="eastAsia" w:ascii="宋体" w:hAnsi="宋体" w:eastAsia="宋体"/>
          <w:kern w:val="44"/>
          <w:sz w:val="28"/>
          <w:szCs w:val="48"/>
        </w:rPr>
        <w:t>二、采购清单及参数要求</w:t>
      </w:r>
    </w:p>
    <w:p w14:paraId="1AE55832">
      <w:pPr>
        <w:pStyle w:val="3"/>
        <w:wordWrap w:val="0"/>
        <w:spacing w:before="0" w:after="0"/>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2"/>
        <w:gridCol w:w="4869"/>
        <w:gridCol w:w="588"/>
        <w:gridCol w:w="402"/>
        <w:gridCol w:w="402"/>
        <w:gridCol w:w="402"/>
        <w:gridCol w:w="402"/>
      </w:tblGrid>
      <w:tr w14:paraId="3777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89140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序号</w:t>
            </w:r>
          </w:p>
        </w:tc>
        <w:tc>
          <w:tcPr>
            <w:tcW w:w="782" w:type="dxa"/>
          </w:tcPr>
          <w:p w14:paraId="39FE7703">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名称</w:t>
            </w:r>
          </w:p>
        </w:tc>
        <w:tc>
          <w:tcPr>
            <w:tcW w:w="4869" w:type="dxa"/>
          </w:tcPr>
          <w:p w14:paraId="63ACADAD">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技术参数</w:t>
            </w:r>
          </w:p>
        </w:tc>
        <w:tc>
          <w:tcPr>
            <w:tcW w:w="588" w:type="dxa"/>
          </w:tcPr>
          <w:p w14:paraId="5E7C1C5F">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数量</w:t>
            </w:r>
          </w:p>
        </w:tc>
        <w:tc>
          <w:tcPr>
            <w:tcW w:w="402" w:type="dxa"/>
          </w:tcPr>
          <w:p w14:paraId="2D80336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单位</w:t>
            </w:r>
          </w:p>
        </w:tc>
        <w:tc>
          <w:tcPr>
            <w:tcW w:w="402" w:type="dxa"/>
          </w:tcPr>
          <w:p w14:paraId="5F8EFE13">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单价</w:t>
            </w:r>
          </w:p>
          <w:p w14:paraId="2ECBBE4A">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（元）</w:t>
            </w:r>
          </w:p>
        </w:tc>
        <w:tc>
          <w:tcPr>
            <w:tcW w:w="402" w:type="dxa"/>
          </w:tcPr>
          <w:p w14:paraId="287640A2">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总价</w:t>
            </w:r>
          </w:p>
          <w:p w14:paraId="70AE623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（元）</w:t>
            </w:r>
          </w:p>
        </w:tc>
        <w:tc>
          <w:tcPr>
            <w:tcW w:w="402" w:type="dxa"/>
          </w:tcPr>
          <w:p w14:paraId="7A768086">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备注</w:t>
            </w:r>
          </w:p>
        </w:tc>
      </w:tr>
      <w:tr w14:paraId="424E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DC17D7">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782" w:type="dxa"/>
          </w:tcPr>
          <w:p w14:paraId="31222A4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400W摄像头</w:t>
            </w:r>
          </w:p>
        </w:tc>
        <w:tc>
          <w:tcPr>
            <w:tcW w:w="4869" w:type="dxa"/>
          </w:tcPr>
          <w:p w14:paraId="1F5BA261">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1、智能侦测功能</w:t>
            </w:r>
          </w:p>
          <w:p w14:paraId="13E76374">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支持移动侦测、人形检测、异常事件侦测，侦测事件可实现抓图、录像、告警上传</w:t>
            </w:r>
          </w:p>
          <w:p w14:paraId="6F4F2381">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2、接口</w:t>
            </w:r>
          </w:p>
          <w:p w14:paraId="1F15702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网络：1个RJ45 10 M/100 M自适应以太网口</w:t>
            </w:r>
          </w:p>
          <w:p w14:paraId="26AEAE1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音频：1个内置麦克风</w:t>
            </w:r>
          </w:p>
          <w:p w14:paraId="07E87895">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3、补光</w:t>
            </w:r>
          </w:p>
          <w:p w14:paraId="26B47C7B">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补光灯类型：智能补光，可切换白光灯、红外灯</w:t>
            </w:r>
          </w:p>
          <w:p w14:paraId="69394A3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防补光过曝：支持</w:t>
            </w:r>
          </w:p>
          <w:p w14:paraId="75675B21">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波长范围：850 nm</w:t>
            </w:r>
          </w:p>
          <w:p w14:paraId="0D0A791D">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补光距离：红外光最远可达30 m，白光最远可达20 m</w:t>
            </w:r>
          </w:p>
          <w:p w14:paraId="35F83D9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4、网络</w:t>
            </w:r>
          </w:p>
          <w:p w14:paraId="0A66A60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支持TCP/IP、DHCP、DNS、RTSP、NTP、IPv4、IPv6等通用网络协议；支持GB/T28181国家标准协议接入；支持分级用户权限管理；支持多路客户端同时预览访问。</w:t>
            </w:r>
          </w:p>
          <w:p w14:paraId="1D65CED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5、通用功能</w:t>
            </w:r>
          </w:p>
          <w:p w14:paraId="0CBF6456">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事件告警可支持FTP上传、平台推送、邮件告警；支持心跳保活、画面镜像、密码权限管理、视频水印防篡改；可通过浏览器或通用客户端远程恢复出厂设置。</w:t>
            </w:r>
          </w:p>
          <w:p w14:paraId="38308FD4">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工作环境：工作温度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℃，工作湿度小于</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（无凝结）。</w:t>
            </w:r>
          </w:p>
          <w:p w14:paraId="36AA835D">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6、视频</w:t>
            </w:r>
          </w:p>
          <w:p w14:paraId="3782B06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最大分辨率≥2560×1440；50Hz模式下，主码流25fps，支持2560×1440、1920×1080、1280×720分辨率；子码流25fps，支持1280×720、640×480、640×360分辨率。</w:t>
            </w:r>
          </w:p>
          <w:p w14:paraId="7DC838BD">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视频编码支持H.264、H.265，子码流兼容MJPEG；支持智能编码压缩；码率可调范围32Kbps～8Mbps；支持定码率、变码率控制；支持SVC分层编码、主码流ROI感兴趣区域编码。</w:t>
            </w:r>
          </w:p>
          <w:p w14:paraId="1C50E6D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7、镜头</w:t>
            </w:r>
          </w:p>
          <w:p w14:paraId="08EFA22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标配2.8mm定焦镜头，固定光圈，最大光圈F1.6；水平视场角≥98°，垂直视场角≥54°，对角视场角≥115°；采用M12镜头接口。</w:t>
            </w:r>
          </w:p>
          <w:p w14:paraId="3E8B5F37">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镜头焦距可选择：4mm、6mm、8mm。</w:t>
            </w:r>
          </w:p>
          <w:p w14:paraId="35E7F32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摄像机安装角度可调：水平</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360</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、垂直</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75</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、旋转</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360</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w:t>
            </w:r>
          </w:p>
          <w:p w14:paraId="4FA0DD3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8、图像</w:t>
            </w:r>
          </w:p>
          <w:p w14:paraId="1D692105">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可远程调节饱和度、亮度、对比度、锐度、自动增益、白平衡；日夜切换模式包含白天、夜晚、自动、定时；采用ICR红外滤片物理切换；具备背光补偿、强光抑制、3D数字降噪功能。</w:t>
            </w:r>
          </w:p>
          <w:p w14:paraId="6280715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9、认证</w:t>
            </w:r>
          </w:p>
          <w:p w14:paraId="3C5D0946">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设备防护等级≥IP67。</w:t>
            </w:r>
          </w:p>
          <w:p w14:paraId="52935300">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10、音频</w:t>
            </w:r>
          </w:p>
          <w:p w14:paraId="4A2E1B8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音频压缩标准：G.711ulaw/G.711alaw/G.722.1/G.726/MP2L2/PCM/AAC-LC</w:t>
            </w:r>
          </w:p>
          <w:p w14:paraId="524EE001">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音频压缩码率：64 Kbps（G.711ulaw/G.711alaw）/16 Kbps（G.722.1）/16 Kbps（G.726）/32~160 Kbps（MP2L2）/16~64 Kbps（AAC-LC）</w:t>
            </w:r>
          </w:p>
          <w:p w14:paraId="250D3AE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音频采样率：8 kHz/16 kHz</w:t>
            </w:r>
          </w:p>
          <w:p w14:paraId="22D36EC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音频环境噪声过滤：支持</w:t>
            </w:r>
          </w:p>
          <w:p w14:paraId="5D75430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11、摄像机</w:t>
            </w:r>
          </w:p>
          <w:p w14:paraId="637179FB">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传感器类型：1/3" Progressive Scan CMOS</w:t>
            </w:r>
          </w:p>
          <w:p w14:paraId="1E350A1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最低照度：彩色：0.005 Lux</w:t>
            </w:r>
          </w:p>
          <w:p w14:paraId="08F6F52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快门：1/3 s~1/100,000 s</w:t>
            </w:r>
          </w:p>
          <w:p w14:paraId="26EED23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宽动态：120 dB</w:t>
            </w:r>
          </w:p>
          <w:p w14:paraId="09E45CA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日夜切换模式：ICR红外滤片式</w:t>
            </w:r>
          </w:p>
          <w:p w14:paraId="2E2F6E2F">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调节角度：水平：0°~360°，垂直：0°~75°，旋转：0°~360°</w:t>
            </w:r>
          </w:p>
        </w:tc>
        <w:tc>
          <w:tcPr>
            <w:tcW w:w="588" w:type="dxa"/>
          </w:tcPr>
          <w:p w14:paraId="3F23D0CF">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r>
              <w:rPr>
                <w:rFonts w:asciiTheme="minorEastAsia" w:hAnsiTheme="minorEastAsia" w:eastAsiaTheme="minorEastAsia"/>
                <w:color w:val="000000" w:themeColor="text1"/>
                <w:sz w:val="24"/>
                <w14:textFill>
                  <w14:solidFill>
                    <w14:schemeClr w14:val="tx1"/>
                  </w14:solidFill>
                </w14:textFill>
              </w:rPr>
              <w:t>4</w:t>
            </w:r>
          </w:p>
        </w:tc>
        <w:tc>
          <w:tcPr>
            <w:tcW w:w="402" w:type="dxa"/>
          </w:tcPr>
          <w:p w14:paraId="6262FD75">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7D5A8B9D">
            <w:pPr>
              <w:jc w:val="center"/>
              <w:rPr>
                <w:rFonts w:asciiTheme="minorEastAsia" w:hAnsiTheme="minorEastAsia" w:eastAsiaTheme="minorEastAsia"/>
                <w:color w:val="000000" w:themeColor="text1"/>
                <w:sz w:val="24"/>
                <w14:textFill>
                  <w14:solidFill>
                    <w14:schemeClr w14:val="tx1"/>
                  </w14:solidFill>
                </w14:textFill>
              </w:rPr>
            </w:pPr>
          </w:p>
        </w:tc>
        <w:tc>
          <w:tcPr>
            <w:tcW w:w="402" w:type="dxa"/>
          </w:tcPr>
          <w:p w14:paraId="4B460217">
            <w:pPr>
              <w:jc w:val="center"/>
              <w:rPr>
                <w:rFonts w:asciiTheme="minorEastAsia" w:hAnsiTheme="minorEastAsia" w:eastAsiaTheme="minorEastAsia"/>
                <w:color w:val="000000" w:themeColor="text1"/>
                <w:sz w:val="24"/>
                <w14:textFill>
                  <w14:solidFill>
                    <w14:schemeClr w14:val="tx1"/>
                  </w14:solidFill>
                </w14:textFill>
              </w:rPr>
            </w:pPr>
          </w:p>
        </w:tc>
        <w:tc>
          <w:tcPr>
            <w:tcW w:w="402" w:type="dxa"/>
          </w:tcPr>
          <w:p w14:paraId="347F98BB">
            <w:pPr>
              <w:jc w:val="center"/>
              <w:rPr>
                <w:rFonts w:asciiTheme="minorEastAsia" w:hAnsiTheme="minorEastAsia" w:eastAsiaTheme="minorEastAsia"/>
                <w:color w:val="000000" w:themeColor="text1"/>
                <w:sz w:val="24"/>
                <w14:textFill>
                  <w14:solidFill>
                    <w14:schemeClr w14:val="tx1"/>
                  </w14:solidFill>
                </w14:textFill>
              </w:rPr>
            </w:pPr>
          </w:p>
        </w:tc>
      </w:tr>
      <w:tr w14:paraId="5D53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04983C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782" w:type="dxa"/>
          </w:tcPr>
          <w:p w14:paraId="3A22696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半球摄像头支架</w:t>
            </w:r>
          </w:p>
        </w:tc>
        <w:tc>
          <w:tcPr>
            <w:tcW w:w="4869" w:type="dxa"/>
          </w:tcPr>
          <w:p w14:paraId="28CCD2B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定制</w:t>
            </w:r>
          </w:p>
          <w:p w14:paraId="550D48C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1、材质：采用优质高强度金属材质，表面静电喷塑、防锈、防腐蚀、抗氧化，室内长期使用不掉漆、不生锈。</w:t>
            </w:r>
          </w:p>
          <w:p w14:paraId="571FD6B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2、结构：可多角度调节，水平、垂直角度可调，适配教室墙面、吊顶各类安装场景。</w:t>
            </w:r>
          </w:p>
          <w:p w14:paraId="51CD2E9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3、承重：结构稳固，承重能力强，可牢固固定摄像机，有效防止设备松动、脱落。</w:t>
            </w:r>
          </w:p>
          <w:p w14:paraId="6F2D707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4、适配性：兼容市面主流室内半球摄像机，安装孔位通用，布线隐藏式设计，整体美观整洁。</w:t>
            </w:r>
          </w:p>
          <w:p w14:paraId="201D6DF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5、工艺：做工精细，边缘光滑无毛刺，贴合校园标准化施工美观要求。</w:t>
            </w:r>
          </w:p>
        </w:tc>
        <w:tc>
          <w:tcPr>
            <w:tcW w:w="588" w:type="dxa"/>
          </w:tcPr>
          <w:p w14:paraId="48662FF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r>
              <w:rPr>
                <w:rFonts w:asciiTheme="minorEastAsia" w:hAnsiTheme="minorEastAsia" w:eastAsiaTheme="minorEastAsia"/>
                <w:color w:val="000000" w:themeColor="text1"/>
                <w:sz w:val="24"/>
                <w14:textFill>
                  <w14:solidFill>
                    <w14:schemeClr w14:val="tx1"/>
                  </w14:solidFill>
                </w14:textFill>
              </w:rPr>
              <w:t>4</w:t>
            </w:r>
          </w:p>
        </w:tc>
        <w:tc>
          <w:tcPr>
            <w:tcW w:w="402" w:type="dxa"/>
          </w:tcPr>
          <w:p w14:paraId="03BEB8C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套</w:t>
            </w:r>
          </w:p>
        </w:tc>
        <w:tc>
          <w:tcPr>
            <w:tcW w:w="402" w:type="dxa"/>
          </w:tcPr>
          <w:p w14:paraId="1C006529">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0C5BFBF">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C6BD24F">
            <w:pPr>
              <w:rPr>
                <w:rFonts w:asciiTheme="minorEastAsia" w:hAnsiTheme="minorEastAsia" w:eastAsiaTheme="minorEastAsia"/>
                <w:color w:val="000000" w:themeColor="text1"/>
                <w:sz w:val="24"/>
                <w14:textFill>
                  <w14:solidFill>
                    <w14:schemeClr w14:val="tx1"/>
                  </w14:solidFill>
                </w14:textFill>
              </w:rPr>
            </w:pPr>
          </w:p>
        </w:tc>
      </w:tr>
      <w:tr w14:paraId="54DC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030ECB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p>
        </w:tc>
        <w:tc>
          <w:tcPr>
            <w:tcW w:w="782" w:type="dxa"/>
          </w:tcPr>
          <w:p w14:paraId="6BC0586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线槽</w:t>
            </w:r>
          </w:p>
        </w:tc>
        <w:tc>
          <w:tcPr>
            <w:tcW w:w="4869" w:type="dxa"/>
          </w:tcPr>
          <w:p w14:paraId="39C3900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定制</w:t>
            </w:r>
          </w:p>
          <w:p w14:paraId="6A959F4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1、材质：采用全新PVC阻燃塑料材质，阻燃、绝缘、防腐蚀、韧性强、不易断裂。</w:t>
            </w:r>
          </w:p>
          <w:p w14:paraId="5D24DEE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2、安全性能：具备高绝缘性能，有效保护线路安全，杜绝漏电、短路隐患，符合校园电气安全规范。</w:t>
            </w:r>
          </w:p>
          <w:p w14:paraId="6164634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3、工艺特点：槽体壁厚均匀，卡扣紧密，开合顺畅，不易变形、不易脱落；布线规整、隐蔽、美观。</w:t>
            </w:r>
          </w:p>
          <w:p w14:paraId="357CD5B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4、施工标准：适配监控网线、电源线并行敷设，保护线路不受磨损、挤压、老化，延长线路使用寿命。</w:t>
            </w:r>
          </w:p>
          <w:p w14:paraId="5342F8C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5、环境适应性：防潮、防尘、耐候性强，适配教室长期室内环境使用，符合弱电工程施工规范。</w:t>
            </w:r>
          </w:p>
          <w:p w14:paraId="38EB50D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6、外观：表面光滑平整，色泽统一，贴合校园整体装修整洁美观要求。</w:t>
            </w:r>
          </w:p>
        </w:tc>
        <w:tc>
          <w:tcPr>
            <w:tcW w:w="588" w:type="dxa"/>
          </w:tcPr>
          <w:p w14:paraId="09393F7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0656768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0B81ABAC">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360844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02EBA74">
            <w:pPr>
              <w:rPr>
                <w:rFonts w:asciiTheme="minorEastAsia" w:hAnsiTheme="minorEastAsia" w:eastAsiaTheme="minorEastAsia"/>
                <w:color w:val="000000" w:themeColor="text1"/>
                <w:sz w:val="24"/>
                <w14:textFill>
                  <w14:solidFill>
                    <w14:schemeClr w14:val="tx1"/>
                  </w14:solidFill>
                </w14:textFill>
              </w:rPr>
            </w:pPr>
          </w:p>
        </w:tc>
      </w:tr>
      <w:tr w14:paraId="2C37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40D70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782" w:type="dxa"/>
          </w:tcPr>
          <w:p w14:paraId="262D47E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16口POE交换机千兆</w:t>
            </w:r>
          </w:p>
        </w:tc>
        <w:tc>
          <w:tcPr>
            <w:tcW w:w="4869" w:type="dxa"/>
          </w:tcPr>
          <w:p w14:paraId="79AB84B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1、端口规格：配备不少于16个百兆PoE电口、1个千兆上行电口、1个千兆光电复用口，满足监控终端接入及网络上行扩容需求。</w:t>
            </w:r>
          </w:p>
          <w:p w14:paraId="3863D3F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2、性能参数：交换容量≥7.2Gbps，包转发率≥5.36Mpps，满足多终端稳定数据传输。</w:t>
            </w:r>
          </w:p>
          <w:p w14:paraId="6A0E0B0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3、POE供电：完全符合IEEE802.3af/at通用供电标准，整机最大POE输出功率≥230W；具备PD功率智能检测、系统级过载保护功能，可自动适配受电设备功率，防止过载损坏设备。</w:t>
            </w:r>
          </w:p>
          <w:p w14:paraId="73A87E7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4、安全防护：端口支持≥6kV防浪涌防护，有效抵御雷击、静电干扰，适配校园室内弱电环境长期稳定运行。</w:t>
            </w:r>
          </w:p>
          <w:p w14:paraId="66E7DBD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5、安装方式：支持标准机架式安装，适配机房机柜部署，结构稳固、便于集中运维。</w:t>
            </w:r>
          </w:p>
          <w:p w14:paraId="2AF9812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6、工作环境：适配室内常规温湿度环境，支持长期不间断通电运行，满足监控系统全天候工作需求。</w:t>
            </w:r>
          </w:p>
        </w:tc>
        <w:tc>
          <w:tcPr>
            <w:tcW w:w="588" w:type="dxa"/>
          </w:tcPr>
          <w:p w14:paraId="32A1D4D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402" w:type="dxa"/>
          </w:tcPr>
          <w:p w14:paraId="0DDBF21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35B00C8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492A92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5EA949C">
            <w:pPr>
              <w:rPr>
                <w:rFonts w:asciiTheme="minorEastAsia" w:hAnsiTheme="minorEastAsia" w:eastAsiaTheme="minorEastAsia"/>
                <w:color w:val="000000" w:themeColor="text1"/>
                <w:sz w:val="24"/>
                <w14:textFill>
                  <w14:solidFill>
                    <w14:schemeClr w14:val="tx1"/>
                  </w14:solidFill>
                </w14:textFill>
              </w:rPr>
            </w:pPr>
          </w:p>
        </w:tc>
      </w:tr>
      <w:tr w14:paraId="38D2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C6CB8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782" w:type="dxa"/>
          </w:tcPr>
          <w:p w14:paraId="0193A37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8+2口POE交换机千兆</w:t>
            </w:r>
          </w:p>
        </w:tc>
        <w:tc>
          <w:tcPr>
            <w:tcW w:w="4869" w:type="dxa"/>
          </w:tcPr>
          <w:p w14:paraId="53D1BAE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1、端口规格：配备不少于8个千兆PoE电口、2个千兆上行电口，全千兆接入及上行，保障高清监控视频传输流畅。</w:t>
            </w:r>
          </w:p>
          <w:p w14:paraId="1E86EEF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2、POE供电：符合IEEE802.3af/at通用POE供电标准，单端口最大输出功率≥30W，整机最大POE输出功率≥80W，可稳定适配各类网络监控摄像机供电。</w:t>
            </w:r>
          </w:p>
          <w:p w14:paraId="1AA1EB4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3、安装方式：支持桌面放置、壁挂式安装，部署灵活，适配教室、楼层弱电箱零散点位使用。</w:t>
            </w:r>
          </w:p>
          <w:p w14:paraId="6E1F2E7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4、设备性能：支持智能供电识别，空载省电、过载保护，兼容性强，可适配市面主流安防终端设备。</w:t>
            </w:r>
          </w:p>
          <w:p w14:paraId="6C2AD8B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5、运行稳定性：工业级硬件设计，抗干扰能力强，支持7×24小时不间断运行。</w:t>
            </w:r>
          </w:p>
        </w:tc>
        <w:tc>
          <w:tcPr>
            <w:tcW w:w="588" w:type="dxa"/>
          </w:tcPr>
          <w:p w14:paraId="28F89D6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402" w:type="dxa"/>
          </w:tcPr>
          <w:p w14:paraId="4123136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0B10C670">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40EEA8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D267A5F">
            <w:pPr>
              <w:rPr>
                <w:rFonts w:asciiTheme="minorEastAsia" w:hAnsiTheme="minorEastAsia" w:eastAsiaTheme="minorEastAsia"/>
                <w:color w:val="000000" w:themeColor="text1"/>
                <w:sz w:val="24"/>
                <w14:textFill>
                  <w14:solidFill>
                    <w14:schemeClr w14:val="tx1"/>
                  </w14:solidFill>
                </w14:textFill>
              </w:rPr>
            </w:pPr>
          </w:p>
        </w:tc>
      </w:tr>
      <w:tr w14:paraId="68FB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4C7F1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p>
        </w:tc>
        <w:tc>
          <w:tcPr>
            <w:tcW w:w="782" w:type="dxa"/>
          </w:tcPr>
          <w:p w14:paraId="3D95DAB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8口汇聚交换机</w:t>
            </w:r>
          </w:p>
        </w:tc>
        <w:tc>
          <w:tcPr>
            <w:tcW w:w="4869" w:type="dxa"/>
          </w:tcPr>
          <w:p w14:paraId="61A83C98">
            <w:pPr>
              <w:rPr>
                <w:rFonts w:asciiTheme="minorEastAsia" w:hAnsiTheme="minorEastAsia" w:eastAsiaTheme="minorEastAsia"/>
                <w:color w:val="000000" w:themeColor="text1"/>
                <w:sz w:val="24"/>
                <w14:textFill>
                  <w14:solidFill>
                    <w14:schemeClr w14:val="tx1"/>
                  </w14:solidFill>
                </w14:textFill>
              </w:rPr>
            </w:pPr>
            <w:r>
              <w:rPr>
                <w:rFonts w:hint="eastAsia" w:ascii="MS Gothic" w:hAnsi="MS Gothic" w:eastAsia="MS Gothic" w:cs="MS Gothic"/>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1、端口配置：配备不少于8个10/100/1000Base-T千兆自适应电口，不少于2个100/1000Base-X千兆SFP光口，满足电口接入、光口远距离级联汇聚需求。</w:t>
            </w:r>
          </w:p>
          <w:p w14:paraId="41D6F6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2、核心性能：交换容量≥256Gbps，包转发率≥30Mpps，采用存储转发交换机制，数据转发高效不卡顿。</w:t>
            </w:r>
          </w:p>
          <w:p w14:paraId="1C1EEE7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3、VLAN功能：支持IEEE 802.1Q标准VLAN划分，最大支持4K VLAN；兼容基于IP子网、MAC地址、协议的VLAN划分，支持GUEST VLAN功能，可实现网络分区隔离、业务分离。</w:t>
            </w:r>
          </w:p>
          <w:p w14:paraId="4ECF01D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4、网管功能：支持Console、Telnet、SSH、SNMP v1-v3多种通用管理方式；支持ACL访问控制、QoS服务质量调度，适配多业务网络优先级管控。</w:t>
            </w:r>
          </w:p>
          <w:p w14:paraId="7271EE1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5、组播功能：支持IGMP Snooping v1/v2/v3组播监听功能，有效抑制广播风暴，保障监控视频、多媒体业务稳定传输。</w:t>
            </w:r>
          </w:p>
          <w:p w14:paraId="6122795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6、硬件规格：采用金属机身结构，设备散热性能优良，运行稳定；标准设备尺寸，适配机柜及桌面安装。</w:t>
            </w:r>
          </w:p>
          <w:p w14:paraId="6A9F5EC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7、电源与质保：支持AC100V-240V宽电压自适应供电，适配国内市电环境；整机质保期不少于3年，售后保障完善。</w:t>
            </w:r>
          </w:p>
        </w:tc>
        <w:tc>
          <w:tcPr>
            <w:tcW w:w="588" w:type="dxa"/>
          </w:tcPr>
          <w:p w14:paraId="4C88343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112DBAC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1C3FD25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611E780">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A9840BC">
            <w:pPr>
              <w:rPr>
                <w:rFonts w:asciiTheme="minorEastAsia" w:hAnsiTheme="minorEastAsia" w:eastAsiaTheme="minorEastAsia"/>
                <w:color w:val="000000" w:themeColor="text1"/>
                <w:sz w:val="24"/>
                <w14:textFill>
                  <w14:solidFill>
                    <w14:schemeClr w14:val="tx1"/>
                  </w14:solidFill>
                </w14:textFill>
              </w:rPr>
            </w:pPr>
          </w:p>
        </w:tc>
      </w:tr>
      <w:tr w14:paraId="4780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144879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782" w:type="dxa"/>
          </w:tcPr>
          <w:p w14:paraId="0BAE56E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硬盘录像机64路</w:t>
            </w:r>
          </w:p>
        </w:tc>
        <w:tc>
          <w:tcPr>
            <w:tcW w:w="4869" w:type="dxa"/>
          </w:tcPr>
          <w:p w14:paraId="0B8AEA3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1、设备接入能力</w:t>
            </w:r>
          </w:p>
          <w:p w14:paraId="034BA6F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设备支持不少于64路网络摄像机接入；可对接符合ONVIF、RTSP通用标准的主流厂商网络摄像机；支持H.264、H.265编码码流接入，兼容智能编码压缩技术，降低带宽与存储占用。</w:t>
            </w:r>
          </w:p>
          <w:p w14:paraId="588134C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2、解码与视频处理性能</w:t>
            </w:r>
          </w:p>
          <w:p w14:paraId="24A7E20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设备解码性能：最大支持≥24路1080P视频同时解码输出；支持最高1200万像素高清网络视频预览、录像存储、回放调取。</w:t>
            </w:r>
          </w:p>
          <w:p w14:paraId="5CA4E5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3、视频输出接口</w:t>
            </w:r>
          </w:p>
          <w:p w14:paraId="744FABE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配置HDMI、VGA视频输出接口，支持同源、异源画面输出模式；HDMI接口最大支持4K超高清显示输出；VGA接口最大支持1080P高清输出。</w:t>
            </w:r>
          </w:p>
          <w:p w14:paraId="499BF99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4、硬盘存储配置</w:t>
            </w:r>
          </w:p>
          <w:p w14:paraId="31E9D75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设备配置不少于16个SATA硬盘接口；单块硬盘最大支持≥16TB容量，支持硬盘满配安装；支持录像计划配置、循环录像、录像锁定保护。</w:t>
            </w:r>
          </w:p>
          <w:p w14:paraId="2E8CB30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5、IP设备集中管理</w:t>
            </w:r>
          </w:p>
          <w:p w14:paraId="15A1524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支持局域网内网络摄像设备统一管理，可实现设备批量添加、参数统一配置、固件批量升级、配置文件导入导出等运维功能。</w:t>
            </w:r>
          </w:p>
          <w:p w14:paraId="3E95D29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6、录像回放与智能检索</w:t>
            </w:r>
          </w:p>
          <w:p w14:paraId="0FD9E69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支持≥16路录像本地同步回放；可根据人员、车辆、事件类型进行录像条件检索，实现事件录像快速定位回放，提升视频查阅效率。</w:t>
            </w:r>
          </w:p>
          <w:p w14:paraId="23325FA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7、平台对接与远程访问</w:t>
            </w:r>
          </w:p>
          <w:p w14:paraId="2560F23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支持GB/T28181国家标准协议，可接入视频监控联网平台；支持通用网络远程访问，可通过移动端客户端实现远程预览、回放、基础配置管理。</w:t>
            </w:r>
          </w:p>
          <w:p w14:paraId="24D88D7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8、通用网络功能</w:t>
            </w:r>
          </w:p>
          <w:p w14:paraId="139395E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支持TCP/IP、DHCP、DNS、NTP、IPv4、IPv6等通用网络协议；具备网络异常、硬盘故障、录像异常告警提示功能。</w:t>
            </w:r>
          </w:p>
          <w:p w14:paraId="60C4F69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9、硬件与运行环境</w:t>
            </w:r>
          </w:p>
          <w:p w14:paraId="3BB691D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标准机架式结构，适配</w:t>
            </w:r>
            <w:r>
              <w:rPr>
                <w:rFonts w:asciiTheme="minorEastAsia" w:hAnsiTheme="minorEastAsia" w:eastAsiaTheme="minorEastAsia"/>
                <w:color w:val="000000" w:themeColor="text1"/>
                <w:sz w:val="24"/>
                <w14:textFill>
                  <w14:solidFill>
                    <w14:schemeClr w14:val="tx1"/>
                  </w14:solidFill>
                </w14:textFill>
              </w:rPr>
              <w:t>19</w:t>
            </w:r>
            <w:r>
              <w:rPr>
                <w:rFonts w:hint="eastAsia" w:asciiTheme="minorEastAsia" w:hAnsiTheme="minorEastAsia" w:eastAsiaTheme="minorEastAsia"/>
                <w:color w:val="000000" w:themeColor="text1"/>
                <w:sz w:val="24"/>
                <w14:textFill>
                  <w14:solidFill>
                    <w14:schemeClr w14:val="tx1"/>
                  </w14:solidFill>
                </w14:textFill>
              </w:rPr>
              <w:t>英寸机柜安装；工作温度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+55</w:t>
            </w:r>
            <w:r>
              <w:rPr>
                <w:rFonts w:hint="eastAsia" w:asciiTheme="minorEastAsia" w:hAnsiTheme="minorEastAsia" w:eastAsiaTheme="minorEastAsia"/>
                <w:color w:val="000000" w:themeColor="text1"/>
                <w:sz w:val="24"/>
                <w14:textFill>
                  <w14:solidFill>
                    <w14:schemeClr w14:val="tx1"/>
                  </w14:solidFill>
                </w14:textFill>
              </w:rPr>
              <w:t>℃，湿度</w:t>
            </w: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（无凝结），可</w:t>
            </w:r>
            <w:r>
              <w:rPr>
                <w:rFonts w:asciiTheme="minorEastAsia" w:hAnsiTheme="minorEastAsia" w:eastAsiaTheme="minorEastAsia"/>
                <w:color w:val="000000" w:themeColor="text1"/>
                <w:sz w:val="24"/>
                <w14:textFill>
                  <w14:solidFill>
                    <w14:schemeClr w14:val="tx1"/>
                  </w14:solidFill>
                </w14:textFill>
              </w:rPr>
              <w:t>7×24</w:t>
            </w:r>
            <w:r>
              <w:rPr>
                <w:rFonts w:hint="eastAsia" w:asciiTheme="minorEastAsia" w:hAnsiTheme="minorEastAsia" w:eastAsiaTheme="minorEastAsia"/>
                <w:color w:val="000000" w:themeColor="text1"/>
                <w:sz w:val="24"/>
                <w14:textFill>
                  <w14:solidFill>
                    <w14:schemeClr w14:val="tx1"/>
                  </w14:solidFill>
                </w14:textFill>
              </w:rPr>
              <w:t>小时不间断稳定运行。</w:t>
            </w:r>
          </w:p>
        </w:tc>
        <w:tc>
          <w:tcPr>
            <w:tcW w:w="588" w:type="dxa"/>
          </w:tcPr>
          <w:p w14:paraId="2925CAE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3A7F251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40C852D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C75ADA3">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8EB32A3">
            <w:pPr>
              <w:rPr>
                <w:rFonts w:asciiTheme="minorEastAsia" w:hAnsiTheme="minorEastAsia" w:eastAsiaTheme="minorEastAsia"/>
                <w:color w:val="000000" w:themeColor="text1"/>
                <w:sz w:val="24"/>
                <w14:textFill>
                  <w14:solidFill>
                    <w14:schemeClr w14:val="tx1"/>
                  </w14:solidFill>
                </w14:textFill>
              </w:rPr>
            </w:pPr>
          </w:p>
        </w:tc>
      </w:tr>
      <w:tr w14:paraId="11F0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43900B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w:t>
            </w:r>
          </w:p>
        </w:tc>
        <w:tc>
          <w:tcPr>
            <w:tcW w:w="782" w:type="dxa"/>
          </w:tcPr>
          <w:p w14:paraId="3EECD62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8T硬盘</w:t>
            </w:r>
          </w:p>
        </w:tc>
        <w:tc>
          <w:tcPr>
            <w:tcW w:w="4869" w:type="dxa"/>
          </w:tcPr>
          <w:p w14:paraId="5A80D53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1、规格接口：硬盘容量≥8TB，盘体尺寸3.5英寸，采用SATA3.0接口。</w:t>
            </w:r>
          </w:p>
          <w:p w14:paraId="0FA3A0F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2、转速与盘体类型：转速5400RPM，空气盘结构，采用CMR传统磁记录方式。</w:t>
            </w:r>
          </w:p>
          <w:p w14:paraId="60F4423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3、读写性能：持续传输速率≥215MB/s，满足监控视频连续写入存储，有效避免视频丢帧。</w:t>
            </w:r>
          </w:p>
          <w:p w14:paraId="3581D7C8">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、扇区技术：采用高级格式</w:t>
            </w:r>
            <w:r>
              <w:rPr>
                <w:rFonts w:asciiTheme="minorEastAsia" w:hAnsiTheme="minorEastAsia" w:eastAsiaTheme="minorEastAsia"/>
                <w:color w:val="000000" w:themeColor="text1"/>
                <w:sz w:val="24"/>
                <w14:textFill>
                  <w14:solidFill>
                    <w14:schemeClr w14:val="tx1"/>
                  </w14:solidFill>
                </w14:textFill>
              </w:rPr>
              <w:t>AF</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512e</w:t>
            </w:r>
            <w:r>
              <w:rPr>
                <w:rFonts w:hint="eastAsia" w:asciiTheme="minorEastAsia" w:hAnsiTheme="minorEastAsia" w:eastAsiaTheme="minorEastAsia"/>
                <w:color w:val="000000" w:themeColor="text1"/>
                <w:sz w:val="24"/>
                <w14:textFill>
                  <w14:solidFill>
                    <w14:schemeClr w14:val="tx1"/>
                  </w14:solidFill>
                </w14:textFill>
              </w:rPr>
              <w:t>扇区技术，可实现</w:t>
            </w:r>
            <w:r>
              <w:rPr>
                <w:rFonts w:asciiTheme="minorEastAsia" w:hAnsiTheme="minorEastAsia" w:eastAsiaTheme="minorEastAsia"/>
                <w:color w:val="000000" w:themeColor="text1"/>
                <w:sz w:val="24"/>
                <w14:textFill>
                  <w14:solidFill>
                    <w14:schemeClr w14:val="tx1"/>
                  </w14:solidFill>
                </w14:textFill>
              </w:rPr>
              <w:t>4K</w:t>
            </w:r>
            <w:r>
              <w:rPr>
                <w:rFonts w:hint="eastAsia" w:asciiTheme="minorEastAsia" w:hAnsiTheme="minorEastAsia" w:eastAsiaTheme="minorEastAsia"/>
                <w:color w:val="000000" w:themeColor="text1"/>
                <w:sz w:val="24"/>
                <w14:textFill>
                  <w14:solidFill>
                    <w14:schemeClr w14:val="tx1"/>
                  </w14:solidFill>
                </w14:textFill>
              </w:rPr>
              <w:t>扇区对齐，提升存储稳定性。</w:t>
            </w:r>
          </w:p>
          <w:p w14:paraId="1D035FC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5、运行可靠性：支持7×24小时不间断连续工作，具备监控级长时间读写稳定性与数据安全保障能力。</w:t>
            </w:r>
          </w:p>
          <w:p w14:paraId="3BD3E5BB">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、环境适应性：适用工作海拔</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305m</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3050m</w:t>
            </w:r>
            <w:r>
              <w:rPr>
                <w:rFonts w:hint="eastAsia" w:asciiTheme="minorEastAsia" w:hAnsiTheme="minorEastAsia" w:eastAsiaTheme="minorEastAsia"/>
                <w:color w:val="000000" w:themeColor="text1"/>
                <w:sz w:val="24"/>
                <w14:textFill>
                  <w14:solidFill>
                    <w14:schemeClr w14:val="tx1"/>
                  </w14:solidFill>
                </w14:textFill>
              </w:rPr>
              <w:t>，适应不同地域机房安装环境。</w:t>
            </w:r>
          </w:p>
          <w:p w14:paraId="2018E75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7、质保要求：提供不少于3年有限质保服务。</w:t>
            </w:r>
          </w:p>
        </w:tc>
        <w:tc>
          <w:tcPr>
            <w:tcW w:w="588" w:type="dxa"/>
          </w:tcPr>
          <w:p w14:paraId="33F78AB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402" w:type="dxa"/>
          </w:tcPr>
          <w:p w14:paraId="5AE1D12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321206DE">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CC6D64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55120AA">
            <w:pPr>
              <w:rPr>
                <w:rFonts w:asciiTheme="minorEastAsia" w:hAnsiTheme="minorEastAsia" w:eastAsiaTheme="minorEastAsia"/>
                <w:color w:val="000000" w:themeColor="text1"/>
                <w:sz w:val="24"/>
                <w14:textFill>
                  <w14:solidFill>
                    <w14:schemeClr w14:val="tx1"/>
                  </w14:solidFill>
                </w14:textFill>
              </w:rPr>
            </w:pPr>
          </w:p>
        </w:tc>
      </w:tr>
      <w:tr w14:paraId="0D75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9D5AD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p>
        </w:tc>
        <w:tc>
          <w:tcPr>
            <w:tcW w:w="782" w:type="dxa"/>
          </w:tcPr>
          <w:p w14:paraId="7D75152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机柜</w:t>
            </w:r>
          </w:p>
        </w:tc>
        <w:tc>
          <w:tcPr>
            <w:tcW w:w="4869" w:type="dxa"/>
          </w:tcPr>
          <w:p w14:paraId="333124B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1、规格尺寸：19英寸标准机架，容量≥22U；外形尺寸（宽×深×高）：600mm×600mm×1166mm（含脚轮） 。</w:t>
            </w:r>
          </w:p>
          <w:p w14:paraId="0406F44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2、执行标准：符合GB/T3047.2、ANSI/EIA RS-310-D、IEC297-2标准，兼容ETSI标准 。</w:t>
            </w:r>
          </w:p>
          <w:p w14:paraId="2908FFB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3、材质与板厚：主体采用SPCC优质冷轧钢板；安装方孔条厚度≥2.0mm，安装横梁≥1.5mm，箱体侧板、门板≥1.2mm；方孔条热镀锌防腐，柜体整体脱脂、磷化、静电喷塑，防腐蚀防锈 。</w:t>
            </w:r>
          </w:p>
          <w:p w14:paraId="49A3D1F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4、门体结构：前门为单开钢化玻璃门，带安全门锁；后门为单开钢板门；两侧侧板可快速拆卸，方便设备安装维护 。</w:t>
            </w:r>
          </w:p>
          <w:p w14:paraId="7A658BD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5、承重能力：静态承重≥800KG，满足硬盘录像机、交换机等设备长期满载安装需求；防护等级IP20。</w:t>
            </w:r>
          </w:p>
          <w:p w14:paraId="60F019E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6、标配配件：配置可调节金属托盘1块、2寸重型脚轮4只、可调支撑地脚4只、M6安装螺丝组件、安装扳手；顶部预留线缆进出孔，带防尘盖板。</w:t>
            </w:r>
          </w:p>
          <w:p w14:paraId="2A8270B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7、安装方式：支持落地安装，可加装并柜连接件实现多台机柜并排组合。</w:t>
            </w:r>
          </w:p>
        </w:tc>
        <w:tc>
          <w:tcPr>
            <w:tcW w:w="588" w:type="dxa"/>
          </w:tcPr>
          <w:p w14:paraId="0AA31E6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3C907AC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00A5BEC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E2EFA4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F0608AA">
            <w:pPr>
              <w:rPr>
                <w:rFonts w:asciiTheme="minorEastAsia" w:hAnsiTheme="minorEastAsia" w:eastAsiaTheme="minorEastAsia"/>
                <w:color w:val="000000" w:themeColor="text1"/>
                <w:sz w:val="24"/>
                <w14:textFill>
                  <w14:solidFill>
                    <w14:schemeClr w14:val="tx1"/>
                  </w14:solidFill>
                </w14:textFill>
              </w:rPr>
            </w:pPr>
          </w:p>
        </w:tc>
      </w:tr>
      <w:tr w14:paraId="05BB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1DC895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0</w:t>
            </w:r>
          </w:p>
        </w:tc>
        <w:tc>
          <w:tcPr>
            <w:tcW w:w="782" w:type="dxa"/>
          </w:tcPr>
          <w:p w14:paraId="7B14AB5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汇聚箱</w:t>
            </w:r>
          </w:p>
        </w:tc>
        <w:tc>
          <w:tcPr>
            <w:tcW w:w="4869" w:type="dxa"/>
          </w:tcPr>
          <w:p w14:paraId="0524CEB0">
            <w:pPr>
              <w:rPr>
                <w:rFonts w:asciiTheme="minorEastAsia" w:hAnsiTheme="minorEastAsia" w:eastAsiaTheme="minorEastAsia"/>
                <w:color w:val="000000" w:themeColor="text1"/>
                <w:sz w:val="24"/>
                <w14:textFill>
                  <w14:solidFill>
                    <w14:schemeClr w14:val="tx1"/>
                  </w14:solidFill>
                </w14:textFill>
              </w:rPr>
            </w:pPr>
          </w:p>
          <w:p w14:paraId="1052CFB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1、规格尺寸：箱体容量≥4U，外形尺寸（宽×深×高）600mm×450mm×280mm。</w:t>
            </w:r>
          </w:p>
          <w:p w14:paraId="490CCBA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2、材质工艺：箱体采用优质冷轧钢板制作，板材厚度≥1.2mm；表面经脱脂、磷化处理后静电喷塑，防锈防腐、耐老化。</w:t>
            </w:r>
          </w:p>
          <w:p w14:paraId="5A556B7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3、结构设计：箱体为壁挂式结构，箱门配置防盗门锁；箱体内预留设备安装立柱，可安装交换机、电源等弱电设备；箱体背部预留壁挂安装孔位。</w:t>
            </w:r>
          </w:p>
          <w:p w14:paraId="28C00B3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4、布线设计：箱体上下预留线缆进出孔，配有橡胶护圈，防止线缆割伤；箱内设置理线结构，便于网线整理排布。</w:t>
            </w:r>
          </w:p>
          <w:p w14:paraId="47F1718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5、散热通风：箱体侧面开设通风散热孔，保证箱内设备通风散热，避免设备高温故障。</w:t>
            </w:r>
          </w:p>
          <w:p w14:paraId="4DE581F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6、防护等级：室内使用，防护等级不低于IP20，具备防尘功能。</w:t>
            </w:r>
          </w:p>
          <w:p w14:paraId="645484E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7、配件配置：配套安装膨胀螺栓、固定螺丝等安装辅材。</w:t>
            </w:r>
          </w:p>
          <w:p w14:paraId="2EBA1B3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8、适用场景：用于楼层弱电间、教室走廊，放置汇聚交换机及配套弱电设备。</w:t>
            </w:r>
          </w:p>
        </w:tc>
        <w:tc>
          <w:tcPr>
            <w:tcW w:w="588" w:type="dxa"/>
          </w:tcPr>
          <w:p w14:paraId="6650BCA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p>
        </w:tc>
        <w:tc>
          <w:tcPr>
            <w:tcW w:w="402" w:type="dxa"/>
          </w:tcPr>
          <w:p w14:paraId="308F4AA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7A113A0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0FEF36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377BBF5">
            <w:pPr>
              <w:rPr>
                <w:rFonts w:asciiTheme="minorEastAsia" w:hAnsiTheme="minorEastAsia" w:eastAsiaTheme="minorEastAsia"/>
                <w:color w:val="000000" w:themeColor="text1"/>
                <w:sz w:val="24"/>
                <w14:textFill>
                  <w14:solidFill>
                    <w14:schemeClr w14:val="tx1"/>
                  </w14:solidFill>
                </w14:textFill>
              </w:rPr>
            </w:pPr>
          </w:p>
        </w:tc>
      </w:tr>
      <w:tr w14:paraId="7319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15DC5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1</w:t>
            </w:r>
          </w:p>
        </w:tc>
        <w:tc>
          <w:tcPr>
            <w:tcW w:w="782" w:type="dxa"/>
          </w:tcPr>
          <w:p w14:paraId="4542BDB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超六网线</w:t>
            </w:r>
          </w:p>
        </w:tc>
        <w:tc>
          <w:tcPr>
            <w:tcW w:w="4869" w:type="dxa"/>
          </w:tcPr>
          <w:p w14:paraId="4415F9B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1、传输性能：满足超六类布线标准，支持千兆及以上以太网信号稳定传输。</w:t>
            </w:r>
          </w:p>
          <w:p w14:paraId="18FF52C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2、导体材质：线芯采用高纯无氧铜材质，直流电阻低，信号传输衰减小，传输性能优异。</w:t>
            </w:r>
          </w:p>
          <w:p w14:paraId="7435830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3、内部结构：线缆内部采用均匀双绞工艺，内置十字隔离骨架，降低线对间串扰与外界电磁干扰，保障信号传输稳定可靠。</w:t>
            </w:r>
          </w:p>
          <w:p w14:paraId="5C393F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4、外护套：护套采用聚氯乙烯（PVC）材料，具备良好耐磨性、抗拉性能，机械强度高。</w:t>
            </w:r>
          </w:p>
          <w:p w14:paraId="03A0F573">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、环保与阻燃：产品需通过</w:t>
            </w:r>
            <w:r>
              <w:rPr>
                <w:rFonts w:asciiTheme="minorEastAsia" w:hAnsiTheme="minorEastAsia" w:eastAsiaTheme="minorEastAsia"/>
                <w:color w:val="000000" w:themeColor="text1"/>
                <w:sz w:val="24"/>
                <w14:textFill>
                  <w14:solidFill>
                    <w14:schemeClr w14:val="tx1"/>
                  </w14:solidFill>
                </w14:textFill>
              </w:rPr>
              <w:t>RoHS2.0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Reach</w:t>
            </w:r>
            <w:r>
              <w:rPr>
                <w:rFonts w:hint="eastAsia" w:asciiTheme="minorEastAsia" w:hAnsiTheme="minorEastAsia" w:eastAsiaTheme="minorEastAsia"/>
                <w:color w:val="000000" w:themeColor="text1"/>
                <w:sz w:val="24"/>
                <w14:textFill>
                  <w14:solidFill>
                    <w14:schemeClr w14:val="tx1"/>
                  </w14:solidFill>
                </w14:textFill>
              </w:rPr>
              <w:t>环保认证；线缆护套达到</w:t>
            </w:r>
            <w:r>
              <w:rPr>
                <w:rFonts w:asciiTheme="minorEastAsia" w:hAnsiTheme="minorEastAsia" w:eastAsiaTheme="minorEastAsia"/>
                <w:color w:val="000000" w:themeColor="text1"/>
                <w:sz w:val="24"/>
                <w14:textFill>
                  <w14:solidFill>
                    <w14:schemeClr w14:val="tx1"/>
                  </w14:solidFill>
                </w14:textFill>
              </w:rPr>
              <w:t>UL</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CMX</w:t>
            </w:r>
            <w:r>
              <w:rPr>
                <w:rFonts w:hint="eastAsia" w:asciiTheme="minorEastAsia" w:hAnsiTheme="minorEastAsia" w:eastAsiaTheme="minorEastAsia"/>
                <w:color w:val="000000" w:themeColor="text1"/>
                <w:sz w:val="24"/>
                <w14:textFill>
                  <w14:solidFill>
                    <w14:schemeClr w14:val="tx1"/>
                  </w14:solidFill>
                </w14:textFill>
              </w:rPr>
              <w:t>阻燃等级，满足室内弱电布线安全要求。</w:t>
            </w:r>
          </w:p>
          <w:p w14:paraId="68BD2FD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6、使用场景：适用于室内监控系统网络布线，可长期稳定运行。</w:t>
            </w:r>
          </w:p>
        </w:tc>
        <w:tc>
          <w:tcPr>
            <w:tcW w:w="588" w:type="dxa"/>
          </w:tcPr>
          <w:p w14:paraId="45E3147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240</w:t>
            </w:r>
          </w:p>
        </w:tc>
        <w:tc>
          <w:tcPr>
            <w:tcW w:w="402" w:type="dxa"/>
          </w:tcPr>
          <w:p w14:paraId="4BD95C7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5C1E3EC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3E65973">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61257C0">
            <w:pPr>
              <w:rPr>
                <w:rFonts w:asciiTheme="minorEastAsia" w:hAnsiTheme="minorEastAsia" w:eastAsiaTheme="minorEastAsia"/>
                <w:color w:val="000000" w:themeColor="text1"/>
                <w:sz w:val="24"/>
                <w14:textFill>
                  <w14:solidFill>
                    <w14:schemeClr w14:val="tx1"/>
                  </w14:solidFill>
                </w14:textFill>
              </w:rPr>
            </w:pPr>
          </w:p>
        </w:tc>
      </w:tr>
      <w:tr w14:paraId="0E03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D60B90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2</w:t>
            </w:r>
          </w:p>
        </w:tc>
        <w:tc>
          <w:tcPr>
            <w:tcW w:w="782" w:type="dxa"/>
          </w:tcPr>
          <w:p w14:paraId="1161240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电源线</w:t>
            </w:r>
            <w:r>
              <w:rPr>
                <w:rFonts w:asciiTheme="minorEastAsia" w:hAnsiTheme="minorEastAsia" w:eastAsiaTheme="minorEastAsia"/>
                <w:color w:val="000000" w:themeColor="text1"/>
                <w:sz w:val="24"/>
                <w14:textFill>
                  <w14:solidFill>
                    <w14:schemeClr w14:val="tx1"/>
                  </w14:solidFill>
                </w14:textFill>
              </w:rPr>
              <w:t>BVVB 2×1.5mm²</w:t>
            </w:r>
            <w:r>
              <w:rPr>
                <w:rFonts w:hint="eastAsia" w:asciiTheme="minorEastAsia" w:hAnsiTheme="minorEastAsia" w:eastAsiaTheme="minorEastAsia"/>
                <w:color w:val="000000" w:themeColor="text1"/>
                <w:sz w:val="24"/>
                <w14:textFill>
                  <w14:solidFill>
                    <w14:schemeClr w14:val="tx1"/>
                  </w14:solidFill>
                </w14:textFill>
              </w:rPr>
              <w:t>（双芯扁线）</w:t>
            </w:r>
          </w:p>
        </w:tc>
        <w:tc>
          <w:tcPr>
            <w:tcW w:w="4869" w:type="dxa"/>
          </w:tcPr>
          <w:p w14:paraId="46D31A79">
            <w:pPr>
              <w:rPr>
                <w:rFonts w:asciiTheme="minorEastAsia" w:hAnsiTheme="minorEastAsia" w:eastAsiaTheme="minorEastAsia"/>
                <w:color w:val="000000" w:themeColor="text1"/>
                <w:sz w:val="24"/>
                <w14:textFill>
                  <w14:solidFill>
                    <w14:schemeClr w14:val="tx1"/>
                  </w14:solidFill>
                </w14:textFill>
              </w:rPr>
            </w:pPr>
            <w:r>
              <w:rPr>
                <w:rFonts w:hint="eastAsia" w:ascii="MS Gothic" w:hAnsi="MS Gothic" w:eastAsia="MS Gothic" w:cs="MS Gothic"/>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1、规格型号：BVVB型双芯扁护套电线，导体截面积≥1.5mm²。</w:t>
            </w:r>
          </w:p>
          <w:p w14:paraId="56D5AC9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2、导体材质：线芯采用高纯无氧铜材质，铜纯度不低于99.99%，导电性能优良。</w:t>
            </w:r>
          </w:p>
          <w:p w14:paraId="7775F98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3、绝缘及护套：绝缘层、护套层采用环保聚氯乙烯（PVC）材料；绝缘层标称厚度≥0.7mm，外护套标称厚度≥0.9mm，耐磨损、抗老化。</w:t>
            </w:r>
          </w:p>
          <w:p w14:paraId="057DDB8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4、电气参数：额定电压300/500V；明敷安全载流量≥16A，满足监控设备长期供电使用。</w:t>
            </w:r>
          </w:p>
          <w:p w14:paraId="7F2ACAD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5、外形重量：成品为扁平双芯结构，外形尺寸控制在公差允许范围内；每百米参考重量不低于6.2kg。</w:t>
            </w:r>
          </w:p>
          <w:p w14:paraId="41630D71">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、执行标准：产品生产符合</w:t>
            </w:r>
            <w:r>
              <w:rPr>
                <w:rFonts w:asciiTheme="minorEastAsia" w:hAnsiTheme="minorEastAsia" w:eastAsiaTheme="minorEastAsia"/>
                <w:color w:val="000000" w:themeColor="text1"/>
                <w:sz w:val="24"/>
                <w14:textFill>
                  <w14:solidFill>
                    <w14:schemeClr w14:val="tx1"/>
                  </w14:solidFill>
                </w14:textFill>
              </w:rPr>
              <w:t>JB/T 8734.2</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2012</w:t>
            </w:r>
            <w:r>
              <w:rPr>
                <w:rFonts w:hint="eastAsia" w:asciiTheme="minorEastAsia" w:hAnsiTheme="minorEastAsia" w:eastAsiaTheme="minorEastAsia"/>
                <w:color w:val="000000" w:themeColor="text1"/>
                <w:sz w:val="24"/>
                <w14:textFill>
                  <w14:solidFill>
                    <w14:schemeClr w14:val="tx1"/>
                  </w14:solidFill>
                </w14:textFill>
              </w:rPr>
              <w:t>标准要求。</w:t>
            </w:r>
          </w:p>
          <w:p w14:paraId="13DA914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7、使用要求：适用于室内监控点位供电布线，布线施工规范，可长期稳定运行。</w:t>
            </w:r>
          </w:p>
        </w:tc>
        <w:tc>
          <w:tcPr>
            <w:tcW w:w="588" w:type="dxa"/>
          </w:tcPr>
          <w:p w14:paraId="468C06F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7FDBC97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1408C82C">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9098781">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65B6B83">
            <w:pPr>
              <w:rPr>
                <w:rFonts w:asciiTheme="minorEastAsia" w:hAnsiTheme="minorEastAsia" w:eastAsiaTheme="minorEastAsia"/>
                <w:color w:val="000000" w:themeColor="text1"/>
                <w:sz w:val="24"/>
                <w14:textFill>
                  <w14:solidFill>
                    <w14:schemeClr w14:val="tx1"/>
                  </w14:solidFill>
                </w14:textFill>
              </w:rPr>
            </w:pPr>
          </w:p>
        </w:tc>
      </w:tr>
      <w:tr w14:paraId="6394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5E909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p>
        </w:tc>
        <w:tc>
          <w:tcPr>
            <w:tcW w:w="782" w:type="dxa"/>
          </w:tcPr>
          <w:p w14:paraId="196BF61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电源线</w:t>
            </w:r>
            <w:r>
              <w:rPr>
                <w:rFonts w:asciiTheme="minorEastAsia" w:hAnsiTheme="minorEastAsia" w:eastAsiaTheme="minorEastAsia"/>
                <w:color w:val="000000" w:themeColor="text1"/>
                <w:sz w:val="24"/>
                <w14:textFill>
                  <w14:solidFill>
                    <w14:schemeClr w14:val="tx1"/>
                  </w14:solidFill>
                </w14:textFill>
              </w:rPr>
              <w:t>2*1.0 mm²</w:t>
            </w:r>
          </w:p>
        </w:tc>
        <w:tc>
          <w:tcPr>
            <w:tcW w:w="4869" w:type="dxa"/>
          </w:tcPr>
          <w:p w14:paraId="03A7EC6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1、规格：可选用RVV软护套线或BVVB扁形护套线，2芯，单芯导体标称截面积≥1.0mm²；RVV导体为多股绞合软铜，BVVB导体为单根硬铜。</w:t>
            </w:r>
          </w:p>
          <w:p w14:paraId="13A57FC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2、导体材质：线芯采用高纯无氧铜，铜纯度不低于99.99%，导电性能稳定。</w:t>
            </w:r>
          </w:p>
          <w:p w14:paraId="0DEE9C0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3、电气指标：额定电压300/500V。</w:t>
            </w:r>
          </w:p>
          <w:p w14:paraId="7D8AD67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4、绝缘护套：绝缘层、外护套采用环保聚氯乙烯（PVC）材质，耐老化。</w:t>
            </w:r>
          </w:p>
          <w:p w14:paraId="66681710">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、执行标准：产品应符合</w:t>
            </w:r>
            <w:r>
              <w:rPr>
                <w:rFonts w:asciiTheme="minorEastAsia" w:hAnsiTheme="minorEastAsia" w:eastAsiaTheme="minorEastAsia"/>
                <w:color w:val="000000" w:themeColor="text1"/>
                <w:sz w:val="24"/>
                <w14:textFill>
                  <w14:solidFill>
                    <w14:schemeClr w14:val="tx1"/>
                  </w14:solidFill>
                </w14:textFill>
              </w:rPr>
              <w:t>GB/T 5023</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JB/T 8734.2</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2012</w:t>
            </w:r>
            <w:r>
              <w:rPr>
                <w:rFonts w:hint="eastAsia" w:asciiTheme="minorEastAsia" w:hAnsiTheme="minorEastAsia" w:eastAsiaTheme="minorEastAsia"/>
                <w:color w:val="000000" w:themeColor="text1"/>
                <w:sz w:val="24"/>
                <w14:textFill>
                  <w14:solidFill>
                    <w14:schemeClr w14:val="tx1"/>
                  </w14:solidFill>
                </w14:textFill>
              </w:rPr>
              <w:t>相关标准要求。</w:t>
            </w:r>
          </w:p>
          <w:p w14:paraId="7E2D7BA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6、外形重量：BVVB扁线外形尺寸控制在标准公差范围内；RVV圆线外径符合规格区间；每百米重量≥4.5kg。</w:t>
            </w:r>
          </w:p>
          <w:p w14:paraId="7247A264">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、工作温度：长期工作环境温度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+70</w:t>
            </w:r>
            <w:r>
              <w:rPr>
                <w:rFonts w:hint="eastAsia" w:asciiTheme="minorEastAsia" w:hAnsiTheme="minorEastAsia" w:eastAsiaTheme="minorEastAsia"/>
                <w:color w:val="000000" w:themeColor="text1"/>
                <w:sz w:val="24"/>
                <w14:textFill>
                  <w14:solidFill>
                    <w14:schemeClr w14:val="tx1"/>
                  </w14:solidFill>
                </w14:textFill>
              </w:rPr>
              <w:t>℃。</w:t>
            </w:r>
          </w:p>
          <w:p w14:paraId="78B06D6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8、使用场景：用于室内监控设备供电布线，满足弱电工程长期稳定供电要求。</w:t>
            </w:r>
          </w:p>
        </w:tc>
        <w:tc>
          <w:tcPr>
            <w:tcW w:w="588" w:type="dxa"/>
          </w:tcPr>
          <w:p w14:paraId="563BE7F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40DBF91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7901597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364722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129F245">
            <w:pPr>
              <w:rPr>
                <w:rFonts w:asciiTheme="minorEastAsia" w:hAnsiTheme="minorEastAsia" w:eastAsiaTheme="minorEastAsia"/>
                <w:color w:val="000000" w:themeColor="text1"/>
                <w:sz w:val="24"/>
                <w14:textFill>
                  <w14:solidFill>
                    <w14:schemeClr w14:val="tx1"/>
                  </w14:solidFill>
                </w14:textFill>
              </w:rPr>
            </w:pPr>
          </w:p>
        </w:tc>
      </w:tr>
      <w:tr w14:paraId="5E18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606A7D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4</w:t>
            </w:r>
          </w:p>
        </w:tc>
        <w:tc>
          <w:tcPr>
            <w:tcW w:w="782" w:type="dxa"/>
          </w:tcPr>
          <w:p w14:paraId="36BE26A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55寸监控显示屏</w:t>
            </w:r>
          </w:p>
        </w:tc>
        <w:tc>
          <w:tcPr>
            <w:tcW w:w="4869" w:type="dxa"/>
          </w:tcPr>
          <w:p w14:paraId="3AE334D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1、屏幕规格</w:t>
            </w:r>
          </w:p>
          <w:p w14:paraId="3BF6C09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屏幕尺寸55英寸，屏幕比例16:9；物理分辨率≥3840×2160（4K）。</w:t>
            </w:r>
          </w:p>
          <w:p w14:paraId="1C638B8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2、背光与画质参数</w:t>
            </w:r>
          </w:p>
          <w:p w14:paraId="415412F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采用分区式背光技术，背光分区数量≥</w:t>
            </w:r>
            <w:r>
              <w:rPr>
                <w:rFonts w:asciiTheme="minorEastAsia" w:hAnsiTheme="minorEastAsia" w:eastAsiaTheme="minorEastAsia"/>
                <w:color w:val="000000" w:themeColor="text1"/>
                <w:sz w:val="24"/>
                <w14:textFill>
                  <w14:solidFill>
                    <w14:schemeClr w14:val="tx1"/>
                  </w14:solidFill>
                </w14:textFill>
              </w:rPr>
              <w:t>192</w:t>
            </w:r>
            <w:r>
              <w:rPr>
                <w:rFonts w:hint="eastAsia" w:asciiTheme="minorEastAsia" w:hAnsiTheme="minorEastAsia" w:eastAsiaTheme="minorEastAsia"/>
                <w:color w:val="000000" w:themeColor="text1"/>
                <w:sz w:val="24"/>
                <w14:textFill>
                  <w14:solidFill>
                    <w14:schemeClr w14:val="tx1"/>
                  </w14:solidFill>
                </w14:textFill>
              </w:rPr>
              <w:t>个；屏幕峰值亮度≥</w:t>
            </w:r>
            <w:r>
              <w:rPr>
                <w:rFonts w:asciiTheme="minorEastAsia" w:hAnsiTheme="minorEastAsia" w:eastAsiaTheme="minorEastAsia"/>
                <w:color w:val="000000" w:themeColor="text1"/>
                <w:sz w:val="24"/>
                <w14:textFill>
                  <w14:solidFill>
                    <w14:schemeClr w14:val="tx1"/>
                  </w14:solidFill>
                </w14:textFill>
              </w:rPr>
              <w:t>1300nits</w:t>
            </w:r>
            <w:r>
              <w:rPr>
                <w:rFonts w:hint="eastAsia" w:asciiTheme="minorEastAsia" w:hAnsiTheme="minorEastAsia" w:eastAsiaTheme="minorEastAsia"/>
                <w:color w:val="000000" w:themeColor="text1"/>
                <w:sz w:val="24"/>
                <w14:textFill>
                  <w14:solidFill>
                    <w14:schemeClr w14:val="tx1"/>
                  </w14:solidFill>
                </w14:textFill>
              </w:rPr>
              <w:t>；色域</w:t>
            </w:r>
            <w:r>
              <w:rPr>
                <w:rFonts w:asciiTheme="minorEastAsia" w:hAnsiTheme="minorEastAsia" w:eastAsiaTheme="minorEastAsia"/>
                <w:color w:val="000000" w:themeColor="text1"/>
                <w:sz w:val="24"/>
                <w14:textFill>
                  <w14:solidFill>
                    <w14:schemeClr w14:val="tx1"/>
                  </w14:solidFill>
                </w14:textFill>
              </w:rPr>
              <w:t>DCI</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P3</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；支持</w:t>
            </w:r>
            <w:r>
              <w:rPr>
                <w:rFonts w:asciiTheme="minorEastAsia" w:hAnsiTheme="minorEastAsia" w:eastAsiaTheme="minorEastAsia"/>
                <w:color w:val="000000" w:themeColor="text1"/>
                <w:sz w:val="24"/>
                <w14:textFill>
                  <w14:solidFill>
                    <w14:schemeClr w14:val="tx1"/>
                  </w14:solidFill>
                </w14:textFill>
              </w:rPr>
              <w:t>HDR10</w:t>
            </w:r>
            <w:r>
              <w:rPr>
                <w:rFonts w:hint="eastAsia" w:asciiTheme="minorEastAsia" w:hAnsiTheme="minorEastAsia" w:eastAsiaTheme="minorEastAsia"/>
                <w:color w:val="000000" w:themeColor="text1"/>
                <w:sz w:val="24"/>
                <w14:textFill>
                  <w14:solidFill>
                    <w14:schemeClr w14:val="tx1"/>
                  </w14:solidFill>
                </w14:textFill>
              </w:rPr>
              <w:t>高动态范围显示；支持运动补偿功能，动态刷新率≥</w:t>
            </w:r>
            <w:r>
              <w:rPr>
                <w:rFonts w:asciiTheme="minorEastAsia" w:hAnsiTheme="minorEastAsia" w:eastAsiaTheme="minorEastAsia"/>
                <w:color w:val="000000" w:themeColor="text1"/>
                <w:sz w:val="24"/>
                <w14:textFill>
                  <w14:solidFill>
                    <w14:schemeClr w14:val="tx1"/>
                  </w14:solidFill>
                </w14:textFill>
              </w:rPr>
              <w:t>264Hz</w:t>
            </w:r>
            <w:r>
              <w:rPr>
                <w:rFonts w:hint="eastAsia" w:asciiTheme="minorEastAsia" w:hAnsiTheme="minorEastAsia" w:eastAsiaTheme="minorEastAsia"/>
                <w:color w:val="000000" w:themeColor="text1"/>
                <w:sz w:val="24"/>
                <w14:textFill>
                  <w14:solidFill>
                    <w14:schemeClr w14:val="tx1"/>
                  </w14:solidFill>
                </w14:textFill>
              </w:rPr>
              <w:t>；屏幕具备防眩光处理，降低环境反光，广视角显示。</w:t>
            </w:r>
          </w:p>
          <w:p w14:paraId="0DD43DE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3、硬件配置</w:t>
            </w:r>
          </w:p>
          <w:p w14:paraId="018D274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CPU采用四核A73及以上处理器；运行内存≥4GB，机身存储≥64GB；搭载安卓操作系统，运行稳定流畅。</w:t>
            </w:r>
          </w:p>
          <w:p w14:paraId="4989969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4、接口配置</w:t>
            </w:r>
          </w:p>
          <w:p w14:paraId="5713FF6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配置不少于3路HDMI2.1视频输入接口；配置不少于2路USB接口（至少包含1路USB3.0）；内置WiFi6、蓝牙无线模块。</w:t>
            </w:r>
          </w:p>
          <w:p w14:paraId="0611854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5、音频配置</w:t>
            </w:r>
          </w:p>
          <w:p w14:paraId="7D05D70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内置2.1声道音响系统，整机音响总功率≥24W；支持杜比、DTS音频解码。</w:t>
            </w:r>
          </w:p>
          <w:p w14:paraId="344DF60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6、外观尺寸</w:t>
            </w:r>
          </w:p>
          <w:p w14:paraId="7B819EC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不含底座外形尺寸约1232mm×716mm×77mm，整机净重≥13.1kg；支持壁挂、底座两种安装方式。</w:t>
            </w:r>
          </w:p>
          <w:p w14:paraId="69AE038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7、能效与功耗</w:t>
            </w:r>
          </w:p>
          <w:p w14:paraId="3FFC5E3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达到一级能效标准；典型功耗≤190W；待机功耗＜0.5W。</w:t>
            </w:r>
          </w:p>
          <w:p w14:paraId="4F15454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8、使用要求</w:t>
            </w:r>
          </w:p>
          <w:p w14:paraId="2FCD099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设备可长期稳定用于监控画面实时显示；支持7×24小时值守场景连续运行，画面无自动休眠、黑屏保护（可手动关闭休眠功能）。</w:t>
            </w:r>
          </w:p>
        </w:tc>
        <w:tc>
          <w:tcPr>
            <w:tcW w:w="588" w:type="dxa"/>
          </w:tcPr>
          <w:p w14:paraId="3596418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6A1C753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40C82FF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0127E8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B9BBCFB">
            <w:pPr>
              <w:rPr>
                <w:rFonts w:asciiTheme="minorEastAsia" w:hAnsiTheme="minorEastAsia" w:eastAsiaTheme="minorEastAsia"/>
                <w:color w:val="000000" w:themeColor="text1"/>
                <w:sz w:val="24"/>
                <w14:textFill>
                  <w14:solidFill>
                    <w14:schemeClr w14:val="tx1"/>
                  </w14:solidFill>
                </w14:textFill>
              </w:rPr>
            </w:pPr>
          </w:p>
        </w:tc>
      </w:tr>
      <w:tr w14:paraId="3E8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2180F6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5</w:t>
            </w:r>
          </w:p>
        </w:tc>
        <w:tc>
          <w:tcPr>
            <w:tcW w:w="782" w:type="dxa"/>
          </w:tcPr>
          <w:p w14:paraId="6F40DAE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光纤12芯</w:t>
            </w:r>
          </w:p>
        </w:tc>
        <w:tc>
          <w:tcPr>
            <w:tcW w:w="4869" w:type="dxa"/>
          </w:tcPr>
          <w:p w14:paraId="042BC40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1、芯数规格：光缆芯数固定为12芯。</w:t>
            </w:r>
          </w:p>
          <w:p w14:paraId="00A01EC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2、光纤类型：光纤可选用单模G.652D、G.657A，或多模OM3、OM4（50/125μm、62.5/125μm），根据现场组网需求选配。</w:t>
            </w:r>
          </w:p>
          <w:p w14:paraId="2AD5AF9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3、光学衰减指标：</w:t>
            </w:r>
          </w:p>
          <w:p w14:paraId="2070302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单模光纤：1310nm衰减≤0.36dB/km，1550nm衰减≤0.22dB/km；</w:t>
            </w:r>
          </w:p>
          <w:p w14:paraId="73DA47F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多模光纤：850nm衰减≤3.5dB/km，1300nm衰减≤1.0dB/km。</w:t>
            </w:r>
          </w:p>
          <w:p w14:paraId="50CBA168">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、物理外径：光缆外径控制在</w:t>
            </w:r>
            <w:r>
              <w:rPr>
                <w:rFonts w:asciiTheme="minorEastAsia" w:hAnsiTheme="minorEastAsia" w:eastAsiaTheme="minorEastAsia"/>
                <w:color w:val="000000" w:themeColor="text1"/>
                <w:sz w:val="24"/>
                <w14:textFill>
                  <w14:solidFill>
                    <w14:schemeClr w14:val="tx1"/>
                  </w14:solidFill>
                </w14:textFill>
              </w:rPr>
              <w:t>9.5mm</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13.5mm</w:t>
            </w:r>
            <w:r>
              <w:rPr>
                <w:rFonts w:hint="eastAsia" w:asciiTheme="minorEastAsia" w:hAnsiTheme="minorEastAsia" w:eastAsiaTheme="minorEastAsia"/>
                <w:color w:val="000000" w:themeColor="text1"/>
                <w:sz w:val="24"/>
                <w14:textFill>
                  <w14:solidFill>
                    <w14:schemeClr w14:val="tx1"/>
                  </w14:solidFill>
                </w14:textFill>
              </w:rPr>
              <w:t>区间，根据室内、室外结构选型。</w:t>
            </w:r>
          </w:p>
          <w:p w14:paraId="3F4650A3">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、机械性能：长期抗拉载荷</w:t>
            </w:r>
            <w:r>
              <w:rPr>
                <w:rFonts w:asciiTheme="minorEastAsia" w:hAnsiTheme="minorEastAsia" w:eastAsiaTheme="minorEastAsia"/>
                <w:color w:val="000000" w:themeColor="text1"/>
                <w:sz w:val="24"/>
                <w14:textFill>
                  <w14:solidFill>
                    <w14:schemeClr w14:val="tx1"/>
                  </w14:solidFill>
                </w14:textFill>
              </w:rPr>
              <w:t>600N</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1500N</w:t>
            </w:r>
            <w:r>
              <w:rPr>
                <w:rFonts w:hint="eastAsia" w:asciiTheme="minorEastAsia" w:hAnsiTheme="minorEastAsia" w:eastAsiaTheme="minorEastAsia"/>
                <w:color w:val="000000" w:themeColor="text1"/>
                <w:sz w:val="24"/>
                <w14:textFill>
                  <w14:solidFill>
                    <w14:schemeClr w14:val="tx1"/>
                  </w14:solidFill>
                </w14:textFill>
              </w:rPr>
              <w:t>，短期抗拉载荷</w:t>
            </w:r>
            <w:r>
              <w:rPr>
                <w:rFonts w:asciiTheme="minorEastAsia" w:hAnsiTheme="minorEastAsia" w:eastAsiaTheme="minorEastAsia"/>
                <w:color w:val="000000" w:themeColor="text1"/>
                <w:sz w:val="24"/>
                <w14:textFill>
                  <w14:solidFill>
                    <w14:schemeClr w14:val="tx1"/>
                  </w14:solidFill>
                </w14:textFill>
              </w:rPr>
              <w:t>2000N</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3000N</w:t>
            </w:r>
            <w:r>
              <w:rPr>
                <w:rFonts w:hint="eastAsia" w:asciiTheme="minorEastAsia" w:hAnsiTheme="minorEastAsia" w:eastAsiaTheme="minorEastAsia"/>
                <w:color w:val="000000" w:themeColor="text1"/>
                <w:sz w:val="24"/>
                <w14:textFill>
                  <w14:solidFill>
                    <w14:schemeClr w14:val="tx1"/>
                  </w14:solidFill>
                </w14:textFill>
              </w:rPr>
              <w:t>；最小弯曲半径动态</w:t>
            </w:r>
            <w:r>
              <w:rPr>
                <w:rFonts w:asciiTheme="minorEastAsia" w:hAnsiTheme="minorEastAsia" w:eastAsiaTheme="minorEastAsia"/>
                <w:color w:val="000000" w:themeColor="text1"/>
                <w:sz w:val="24"/>
                <w14:textFill>
                  <w14:solidFill>
                    <w14:schemeClr w14:val="tx1"/>
                  </w14:solidFill>
                </w14:textFill>
              </w:rPr>
              <w:t>20D</w:t>
            </w:r>
            <w:r>
              <w:rPr>
                <w:rFonts w:hint="eastAsia" w:asciiTheme="minorEastAsia" w:hAnsiTheme="minorEastAsia" w:eastAsiaTheme="minorEastAsia"/>
                <w:color w:val="000000" w:themeColor="text1"/>
                <w:sz w:val="24"/>
                <w14:textFill>
                  <w14:solidFill>
                    <w14:schemeClr w14:val="tx1"/>
                  </w14:solidFill>
                </w14:textFill>
              </w:rPr>
              <w:t>、静态</w:t>
            </w:r>
            <w:r>
              <w:rPr>
                <w:rFonts w:asciiTheme="minorEastAsia" w:hAnsiTheme="minorEastAsia" w:eastAsiaTheme="minorEastAsia"/>
                <w:color w:val="000000" w:themeColor="text1"/>
                <w:sz w:val="24"/>
                <w14:textFill>
                  <w14:solidFill>
                    <w14:schemeClr w14:val="tx1"/>
                  </w14:solidFill>
                </w14:textFill>
              </w:rPr>
              <w:t>10D</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D</w:t>
            </w:r>
            <w:r>
              <w:rPr>
                <w:rFonts w:hint="eastAsia" w:asciiTheme="minorEastAsia" w:hAnsiTheme="minorEastAsia" w:eastAsiaTheme="minorEastAsia"/>
                <w:color w:val="000000" w:themeColor="text1"/>
                <w:sz w:val="24"/>
                <w14:textFill>
                  <w14:solidFill>
                    <w14:schemeClr w14:val="tx1"/>
                  </w14:solidFill>
                </w14:textFill>
              </w:rPr>
              <w:t>为光缆外径）。</w:t>
            </w:r>
          </w:p>
          <w:p w14:paraId="727C21A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6、护套材质与适用场景：室外光缆护套采用PE材质；室内光缆护套可选用低烟无卤LSZH或PVC材质。室外可选GYTA、GYTS、GYXTW结构；室内可选GJFJV结构。</w:t>
            </w:r>
          </w:p>
          <w:p w14:paraId="3847A6E6">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、环境指标：工作温度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40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℃，耐高低温，适应校园室外管道、弱电井、室内桥架敷设。</w:t>
            </w:r>
          </w:p>
        </w:tc>
        <w:tc>
          <w:tcPr>
            <w:tcW w:w="588" w:type="dxa"/>
          </w:tcPr>
          <w:p w14:paraId="02CE724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00</w:t>
            </w:r>
          </w:p>
        </w:tc>
        <w:tc>
          <w:tcPr>
            <w:tcW w:w="402" w:type="dxa"/>
          </w:tcPr>
          <w:p w14:paraId="4896DE9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52306921">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71E29EF">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9AD4657">
            <w:pPr>
              <w:rPr>
                <w:rFonts w:asciiTheme="minorEastAsia" w:hAnsiTheme="minorEastAsia" w:eastAsiaTheme="minorEastAsia"/>
                <w:color w:val="000000" w:themeColor="text1"/>
                <w:sz w:val="24"/>
                <w14:textFill>
                  <w14:solidFill>
                    <w14:schemeClr w14:val="tx1"/>
                  </w14:solidFill>
                </w14:textFill>
              </w:rPr>
            </w:pPr>
          </w:p>
        </w:tc>
      </w:tr>
      <w:tr w14:paraId="30CE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F5A516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6</w:t>
            </w:r>
          </w:p>
        </w:tc>
        <w:tc>
          <w:tcPr>
            <w:tcW w:w="782" w:type="dxa"/>
          </w:tcPr>
          <w:p w14:paraId="4270C9D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24芯ODF光纤配线架</w:t>
            </w:r>
          </w:p>
        </w:tc>
        <w:tc>
          <w:tcPr>
            <w:tcW w:w="4869" w:type="dxa"/>
          </w:tcPr>
          <w:p w14:paraId="58CF678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1、容量规格：满配24芯光纤接续与配线，1U高度，19英寸标准机架式安装，抽屉抽拉式结构。</w:t>
            </w:r>
          </w:p>
          <w:p w14:paraId="7CD57B7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2、材质工艺：壳体采用优质冷轧钢板，板材厚度≥1.2mm；表面脱脂磷化后静电喷塑，防锈防腐。</w:t>
            </w:r>
          </w:p>
          <w:p w14:paraId="6E367F5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3、内部配置：配套独立熔接盘，盘纤空间充足，光纤弯曲半径满足规范；自带光纤标识标签位，方便链路编号管理。</w:t>
            </w:r>
          </w:p>
          <w:p w14:paraId="00E9C97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4、适配器配置：可适配SC/FC/LC光纤适配器（按项目需求选定），耦合器插入损耗≤0.2dB，回波损耗满足单模UPC≥50dB。</w:t>
            </w:r>
          </w:p>
          <w:p w14:paraId="486D0E5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5、布线结构：后部预留光缆进线孔，带橡胶护圈，防止光缆外皮割伤；内部设置理线卡扣，光纤走线规整。</w:t>
            </w:r>
          </w:p>
          <w:p w14:paraId="494E7AE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6、机械性能：抽拉导轨推拉顺畅无卡顿，抽屉带限位防脱落；门锁牢固，可防止意外滑出。</w:t>
            </w:r>
          </w:p>
          <w:p w14:paraId="41BC8DCC">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、执行标准：产品符合</w:t>
            </w:r>
            <w:r>
              <w:rPr>
                <w:rFonts w:asciiTheme="minorEastAsia" w:hAnsiTheme="minorEastAsia" w:eastAsiaTheme="minorEastAsia"/>
                <w:color w:val="000000" w:themeColor="text1"/>
                <w:sz w:val="24"/>
                <w14:textFill>
                  <w14:solidFill>
                    <w14:schemeClr w14:val="tx1"/>
                  </w14:solidFill>
                </w14:textFill>
              </w:rPr>
              <w:t>YD/T</w:t>
            </w:r>
            <w:r>
              <w:rPr>
                <w:rFonts w:eastAsiaTheme="minorEastAsia"/>
                <w:color w:val="000000" w:themeColor="text1"/>
                <w:sz w:val="24"/>
                <w14:textFill>
                  <w14:solidFill>
                    <w14:schemeClr w14:val="tx1"/>
                  </w14:solidFill>
                </w14:textFill>
              </w:rPr>
              <w:t> </w:t>
            </w:r>
            <w:r>
              <w:rPr>
                <w:rFonts w:asciiTheme="minorEastAsia" w:hAnsiTheme="minorEastAsia" w:eastAsiaTheme="minorEastAsia"/>
                <w:color w:val="000000" w:themeColor="text1"/>
                <w:sz w:val="24"/>
                <w14:textFill>
                  <w14:solidFill>
                    <w14:schemeClr w14:val="tx1"/>
                  </w14:solidFill>
                </w14:textFill>
              </w:rPr>
              <w:t>778</w:t>
            </w:r>
            <w:r>
              <w:rPr>
                <w:rFonts w:hint="eastAsia" w:asciiTheme="minorEastAsia" w:hAnsiTheme="minorEastAsia" w:eastAsiaTheme="minorEastAsia"/>
                <w:color w:val="000000" w:themeColor="text1"/>
                <w:sz w:val="24"/>
                <w14:textFill>
                  <w14:solidFill>
                    <w14:schemeClr w14:val="tx1"/>
                  </w14:solidFill>
                </w14:textFill>
              </w:rPr>
              <w:t>通信行业标准；工作温度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+55</w:t>
            </w:r>
            <w:r>
              <w:rPr>
                <w:rFonts w:hint="eastAsia" w:asciiTheme="minorEastAsia" w:hAnsiTheme="minorEastAsia" w:eastAsiaTheme="minorEastAsia"/>
                <w:color w:val="000000" w:themeColor="text1"/>
                <w:sz w:val="24"/>
                <w14:textFill>
                  <w14:solidFill>
                    <w14:schemeClr w14:val="tx1"/>
                  </w14:solidFill>
                </w14:textFill>
              </w:rPr>
              <w:t>℃，可长期机房</w:t>
            </w:r>
            <w:r>
              <w:rPr>
                <w:rFonts w:asciiTheme="minorEastAsia" w:hAnsiTheme="minorEastAsia" w:eastAsiaTheme="minorEastAsia"/>
                <w:color w:val="000000" w:themeColor="text1"/>
                <w:sz w:val="24"/>
                <w14:textFill>
                  <w14:solidFill>
                    <w14:schemeClr w14:val="tx1"/>
                  </w14:solidFill>
                </w14:textFill>
              </w:rPr>
              <w:t>7×24</w:t>
            </w:r>
            <w:r>
              <w:rPr>
                <w:rFonts w:hint="eastAsia" w:asciiTheme="minorEastAsia" w:hAnsiTheme="minorEastAsia" w:eastAsiaTheme="minorEastAsia"/>
                <w:color w:val="000000" w:themeColor="text1"/>
                <w:sz w:val="24"/>
                <w14:textFill>
                  <w14:solidFill>
                    <w14:schemeClr w14:val="tx1"/>
                  </w14:solidFill>
                </w14:textFill>
              </w:rPr>
              <w:t>小时运行。</w:t>
            </w:r>
          </w:p>
          <w:p w14:paraId="7F4EC18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8、配套配件：含固定螺丝、光缆固定扎件等全套安装辅材。</w:t>
            </w:r>
          </w:p>
        </w:tc>
        <w:tc>
          <w:tcPr>
            <w:tcW w:w="588" w:type="dxa"/>
          </w:tcPr>
          <w:p w14:paraId="082740D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1685568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616DDBB9">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4CD4C4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67FF675">
            <w:pPr>
              <w:rPr>
                <w:rFonts w:asciiTheme="minorEastAsia" w:hAnsiTheme="minorEastAsia" w:eastAsiaTheme="minorEastAsia"/>
                <w:color w:val="000000" w:themeColor="text1"/>
                <w:sz w:val="24"/>
                <w14:textFill>
                  <w14:solidFill>
                    <w14:schemeClr w14:val="tx1"/>
                  </w14:solidFill>
                </w14:textFill>
              </w:rPr>
            </w:pPr>
          </w:p>
        </w:tc>
      </w:tr>
      <w:tr w14:paraId="5E9A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F8F3D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7</w:t>
            </w:r>
          </w:p>
        </w:tc>
        <w:tc>
          <w:tcPr>
            <w:tcW w:w="782" w:type="dxa"/>
          </w:tcPr>
          <w:p w14:paraId="1336E3F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千兆单模单纤光纤收发器</w:t>
            </w:r>
          </w:p>
        </w:tc>
        <w:tc>
          <w:tcPr>
            <w:tcW w:w="4869" w:type="dxa"/>
          </w:tcPr>
          <w:p w14:paraId="3230D69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1、接口配置：配置1个千兆自适应RJ45电口、1个千兆SC光纤接口；采用单纤波分复用传输模式，节约光纤布线资源，设备成对使用。</w:t>
            </w:r>
          </w:p>
          <w:p w14:paraId="06815B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2、传输性能：免配置即插即用，数据快速转发、无损传输；单模光纤传输距离≥3km，满足高清监控视频稳定传输。</w:t>
            </w:r>
          </w:p>
          <w:p w14:paraId="1DF240E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3、防护性能：端口具备≥4kV防雷浪涌防护能力，可抵御感应雷击，提升网络运行可靠性。</w:t>
            </w:r>
          </w:p>
          <w:p w14:paraId="6544AADE">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、环境适应性：准工业级硬件设计，工作温度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℃，宽温运行，适应楼道、弱电间等复杂环境。</w:t>
            </w:r>
          </w:p>
          <w:p w14:paraId="3DA4E08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5、壳体结构：采用全金属外壳，结构坚固，自然散热效果好，防尘抗干扰，适合长期不间断运行。</w:t>
            </w:r>
          </w:p>
          <w:p w14:paraId="77425EC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6、运行要求：支持7×24小时连续工作，适配监控系统光纤点位信号转换。</w:t>
            </w:r>
          </w:p>
        </w:tc>
        <w:tc>
          <w:tcPr>
            <w:tcW w:w="588" w:type="dxa"/>
          </w:tcPr>
          <w:p w14:paraId="34776DE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402" w:type="dxa"/>
          </w:tcPr>
          <w:p w14:paraId="23DEAF6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7E058FE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5D4CF7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115F989">
            <w:pPr>
              <w:rPr>
                <w:rFonts w:asciiTheme="minorEastAsia" w:hAnsiTheme="minorEastAsia" w:eastAsiaTheme="minorEastAsia"/>
                <w:color w:val="000000" w:themeColor="text1"/>
                <w:sz w:val="24"/>
                <w14:textFill>
                  <w14:solidFill>
                    <w14:schemeClr w14:val="tx1"/>
                  </w14:solidFill>
                </w14:textFill>
              </w:rPr>
            </w:pPr>
          </w:p>
        </w:tc>
      </w:tr>
      <w:tr w14:paraId="4A1A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6E5265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8</w:t>
            </w:r>
          </w:p>
        </w:tc>
        <w:tc>
          <w:tcPr>
            <w:tcW w:w="782" w:type="dxa"/>
          </w:tcPr>
          <w:p w14:paraId="7817C97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机柜插座</w:t>
            </w:r>
          </w:p>
        </w:tc>
        <w:tc>
          <w:tcPr>
            <w:tcW w:w="4869" w:type="dxa"/>
          </w:tcPr>
          <w:p w14:paraId="4290261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1、产品类型：19英寸机架式PDU机柜电源插座，8位输出口</w:t>
            </w:r>
          </w:p>
          <w:p w14:paraId="02D63DA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2、电气规格：额定10A/250V，额定总功率≥2500W；8个新国标五孔插座，每孔带防触电安全门</w:t>
            </w:r>
          </w:p>
          <w:p w14:paraId="57F190B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3、开关配置：带双断总控开关，可同时切断火线、零线，带电源指示灯 </w:t>
            </w:r>
          </w:p>
          <w:p w14:paraId="36E5FB2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4、结构材质：壳体为加厚铝合金型材，耐腐蚀、散热优良；内部采用一体式铜条，无焊点，导电稳定、不易发热</w:t>
            </w:r>
          </w:p>
          <w:p w14:paraId="3E14633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5、线缆配置：电源线规格不低于3×1.5mm²纯铜芯；线长1.8米，含插头总长2.25米；国标10A插头</w:t>
            </w:r>
          </w:p>
          <w:p w14:paraId="26E6E47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6、安装方式：自带可旋转安装挂耳，支持机柜横向、竖向固定安装</w:t>
            </w:r>
          </w:p>
          <w:p w14:paraId="0B13FD1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7、资质要求：产品通过国家3C强制性认证，符合GB2099系列新国标要求</w:t>
            </w:r>
          </w:p>
        </w:tc>
        <w:tc>
          <w:tcPr>
            <w:tcW w:w="588" w:type="dxa"/>
          </w:tcPr>
          <w:p w14:paraId="21A2F58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22ED008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1DE795C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A7FFCC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300D6FF">
            <w:pPr>
              <w:rPr>
                <w:rFonts w:asciiTheme="minorEastAsia" w:hAnsiTheme="minorEastAsia" w:eastAsiaTheme="minorEastAsia"/>
                <w:color w:val="000000" w:themeColor="text1"/>
                <w:sz w:val="24"/>
                <w14:textFill>
                  <w14:solidFill>
                    <w14:schemeClr w14:val="tx1"/>
                  </w14:solidFill>
                </w14:textFill>
              </w:rPr>
            </w:pPr>
          </w:p>
        </w:tc>
      </w:tr>
      <w:tr w14:paraId="4FC0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D6025C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9</w:t>
            </w:r>
          </w:p>
        </w:tc>
        <w:tc>
          <w:tcPr>
            <w:tcW w:w="782" w:type="dxa"/>
          </w:tcPr>
          <w:p w14:paraId="39C3A7D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开关</w:t>
            </w:r>
          </w:p>
        </w:tc>
        <w:tc>
          <w:tcPr>
            <w:tcW w:w="4869" w:type="dxa"/>
          </w:tcPr>
          <w:p w14:paraId="01141FE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1、产品类型：86型墙壁翘板开关，双极双断结构，可同时断开火线、零线。</w:t>
            </w:r>
          </w:p>
          <w:p w14:paraId="7431E8E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2、电气规格：额定电流≥16AX，额定电压250V交流，适配大功率设备供电。</w:t>
            </w:r>
          </w:p>
          <w:p w14:paraId="0D609CB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3、触点材质：采用银合金触点，耐高温、不易起弧，电气寿命≥40000次。</w:t>
            </w:r>
          </w:p>
          <w:p w14:paraId="6DE21CD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4、面板材质：外壳采用阻燃PC材料（UL94-V0级），抗老化、不易发黄；带夜间荧光指示。</w:t>
            </w:r>
          </w:p>
          <w:p w14:paraId="654FA3E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5、接线结构：加大接线端子，适配多股铜导线，接线牢固不松动。</w:t>
            </w:r>
          </w:p>
          <w:p w14:paraId="1809E68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6、执行标准：满足GB/T16915.1国家标准，产品具备3C强制性认证。</w:t>
            </w:r>
          </w:p>
          <w:p w14:paraId="2AB533C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7、安装尺寸：标准86×86mm，适配常规暗装底盒。</w:t>
            </w:r>
          </w:p>
        </w:tc>
        <w:tc>
          <w:tcPr>
            <w:tcW w:w="588" w:type="dxa"/>
          </w:tcPr>
          <w:p w14:paraId="5F42764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402" w:type="dxa"/>
          </w:tcPr>
          <w:p w14:paraId="75FBCA3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5EC2AF1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8584B25">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B20D05B">
            <w:pPr>
              <w:rPr>
                <w:rFonts w:asciiTheme="minorEastAsia" w:hAnsiTheme="minorEastAsia" w:eastAsiaTheme="minorEastAsia"/>
                <w:color w:val="000000" w:themeColor="text1"/>
                <w:sz w:val="24"/>
                <w14:textFill>
                  <w14:solidFill>
                    <w14:schemeClr w14:val="tx1"/>
                  </w14:solidFill>
                </w14:textFill>
              </w:rPr>
            </w:pPr>
          </w:p>
        </w:tc>
      </w:tr>
      <w:tr w14:paraId="7FFF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23156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0</w:t>
            </w:r>
          </w:p>
        </w:tc>
        <w:tc>
          <w:tcPr>
            <w:tcW w:w="782" w:type="dxa"/>
          </w:tcPr>
          <w:p w14:paraId="6C20E26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辅材</w:t>
            </w:r>
          </w:p>
        </w:tc>
        <w:tc>
          <w:tcPr>
            <w:tcW w:w="4869" w:type="dxa"/>
          </w:tcPr>
          <w:p w14:paraId="5047753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本项目施工所需全部辅材（螺丝、扎带、线卡、水晶头、接线端子、号码管、胶布、标签等）由成交供应商自备，费用含在总报价中；辅材须为工程合格产品，满足弱电施工规范及长期使用要求。</w:t>
            </w:r>
          </w:p>
        </w:tc>
        <w:tc>
          <w:tcPr>
            <w:tcW w:w="588" w:type="dxa"/>
          </w:tcPr>
          <w:p w14:paraId="0497C35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3862814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w:t>
            </w:r>
          </w:p>
        </w:tc>
        <w:tc>
          <w:tcPr>
            <w:tcW w:w="402" w:type="dxa"/>
          </w:tcPr>
          <w:p w14:paraId="019D703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4F2752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0604C70">
            <w:pPr>
              <w:rPr>
                <w:rFonts w:asciiTheme="minorEastAsia" w:hAnsiTheme="minorEastAsia" w:eastAsiaTheme="minorEastAsia"/>
                <w:color w:val="000000" w:themeColor="text1"/>
                <w:sz w:val="24"/>
                <w14:textFill>
                  <w14:solidFill>
                    <w14:schemeClr w14:val="tx1"/>
                  </w14:solidFill>
                </w14:textFill>
              </w:rPr>
            </w:pPr>
          </w:p>
        </w:tc>
      </w:tr>
      <w:tr w14:paraId="25FF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3EB5BC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1</w:t>
            </w:r>
          </w:p>
        </w:tc>
        <w:tc>
          <w:tcPr>
            <w:tcW w:w="782" w:type="dxa"/>
          </w:tcPr>
          <w:p w14:paraId="5B369CB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安装调试费</w:t>
            </w:r>
          </w:p>
        </w:tc>
        <w:tc>
          <w:tcPr>
            <w:tcW w:w="4869" w:type="dxa"/>
          </w:tcPr>
          <w:p w14:paraId="0AABAA6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报价包含所有设备安装、布线施工、系统调试、参数配置、联调测试、现场培训等全部安装调试费用，采购人不再追加费用，系统调试合格后方可验收。安装调试完成后系统需达到设计使用要求，视频画面清晰、录像存储正常、录像可回放、网络传输稳定、各项侦测功能正常。</w:t>
            </w:r>
          </w:p>
        </w:tc>
        <w:tc>
          <w:tcPr>
            <w:tcW w:w="588" w:type="dxa"/>
          </w:tcPr>
          <w:p w14:paraId="2F1BA1F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6B047B3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w:t>
            </w:r>
          </w:p>
        </w:tc>
        <w:tc>
          <w:tcPr>
            <w:tcW w:w="402" w:type="dxa"/>
          </w:tcPr>
          <w:p w14:paraId="10E9BB9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1C0237F">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96F7E32">
            <w:pPr>
              <w:rPr>
                <w:rFonts w:asciiTheme="minorEastAsia" w:hAnsiTheme="minorEastAsia" w:eastAsiaTheme="minorEastAsia"/>
                <w:color w:val="000000" w:themeColor="text1"/>
                <w:sz w:val="24"/>
                <w14:textFill>
                  <w14:solidFill>
                    <w14:schemeClr w14:val="tx1"/>
                  </w14:solidFill>
                </w14:textFill>
              </w:rPr>
            </w:pPr>
          </w:p>
        </w:tc>
      </w:tr>
    </w:tbl>
    <w:p w14:paraId="3C9C59BD">
      <w:pPr>
        <w:rPr>
          <w:color w:val="FF0000"/>
        </w:rPr>
      </w:pPr>
    </w:p>
    <w:p w14:paraId="3646DA64">
      <w:pPr>
        <w:rPr>
          <w:color w:val="FF0000"/>
        </w:rPr>
      </w:pPr>
    </w:p>
    <w:p w14:paraId="1D000510">
      <w:pPr>
        <w:rPr>
          <w:color w:val="FF0000"/>
        </w:rPr>
      </w:pPr>
    </w:p>
    <w:p w14:paraId="0677DFCA">
      <w:pPr>
        <w:spacing w:line="360" w:lineRule="auto"/>
        <w:rPr>
          <w:rFonts w:ascii="宋体" w:hAnsi="宋体" w:cs="宋体"/>
          <w:sz w:val="24"/>
        </w:rPr>
      </w:pPr>
      <w:r>
        <w:rPr>
          <w:rFonts w:hint="eastAsia" w:ascii="宋体" w:hAnsi="宋体" w:cs="宋体"/>
          <w:sz w:val="24"/>
        </w:rPr>
        <w:t xml:space="preserve">三、项目商务要求 </w:t>
      </w:r>
    </w:p>
    <w:p w14:paraId="78CDDDC9">
      <w:pPr>
        <w:spacing w:line="400" w:lineRule="exact"/>
        <w:ind w:firstLine="480" w:firstLineChars="200"/>
        <w:rPr>
          <w:rFonts w:ascii="宋体" w:hAnsi="宋体"/>
          <w:sz w:val="24"/>
        </w:rPr>
      </w:pPr>
      <w:r>
        <w:rPr>
          <w:rFonts w:hint="eastAsia" w:ascii="宋体" w:hAnsi="宋体"/>
          <w:sz w:val="24"/>
        </w:rPr>
        <w:t>（一）报价要求</w:t>
      </w:r>
    </w:p>
    <w:p w14:paraId="72B05A19">
      <w:pPr>
        <w:spacing w:line="400" w:lineRule="exact"/>
        <w:ind w:firstLine="480" w:firstLineChars="200"/>
        <w:rPr>
          <w:rFonts w:ascii="宋体" w:hAnsi="宋体"/>
          <w:sz w:val="24"/>
        </w:rPr>
      </w:pPr>
      <w:r>
        <w:rPr>
          <w:rFonts w:hint="eastAsia" w:ascii="宋体" w:hAnsi="宋体"/>
          <w:sz w:val="24"/>
        </w:rPr>
        <w:t>投标报价包括产品价、税金、运费、安装调试、检验、保险、验收、等完成本项目的全部费用，采购人不再支付报价以外的任何费用。</w:t>
      </w:r>
    </w:p>
    <w:p w14:paraId="6084D927">
      <w:pPr>
        <w:spacing w:line="400" w:lineRule="exact"/>
        <w:ind w:firstLine="480" w:firstLineChars="200"/>
        <w:rPr>
          <w:rFonts w:ascii="宋体" w:hAnsi="宋体"/>
          <w:sz w:val="24"/>
        </w:rPr>
      </w:pPr>
      <w:r>
        <w:rPr>
          <w:rFonts w:hint="eastAsia" w:ascii="宋体" w:hAnsi="宋体"/>
          <w:sz w:val="24"/>
        </w:rPr>
        <w:t>（二）验收</w:t>
      </w:r>
    </w:p>
    <w:p w14:paraId="41DC3ACF">
      <w:pPr>
        <w:spacing w:line="400" w:lineRule="exact"/>
        <w:ind w:firstLine="480" w:firstLineChars="200"/>
        <w:rPr>
          <w:rFonts w:ascii="宋体" w:hAnsi="宋体"/>
          <w:sz w:val="24"/>
        </w:rPr>
      </w:pPr>
      <w:r>
        <w:rPr>
          <w:rFonts w:hint="eastAsia" w:ascii="宋体" w:hAnsi="宋体"/>
          <w:sz w:val="24"/>
        </w:rPr>
        <w:t>1、资料齐全：提供设备清单、合格证、认证资料、竣工图纸、配置文档。</w:t>
      </w:r>
    </w:p>
    <w:p w14:paraId="28A9865C">
      <w:pPr>
        <w:spacing w:line="400" w:lineRule="exact"/>
        <w:ind w:firstLine="480" w:firstLineChars="200"/>
        <w:rPr>
          <w:rFonts w:ascii="宋体" w:hAnsi="宋体"/>
          <w:sz w:val="24"/>
        </w:rPr>
      </w:pPr>
      <w:r>
        <w:rPr>
          <w:rFonts w:hint="eastAsia" w:ascii="宋体" w:hAnsi="宋体"/>
          <w:sz w:val="24"/>
        </w:rPr>
        <w:t>2、施工规范：设备安装牢固、布线整齐、标识完整、外观整洁。</w:t>
      </w:r>
    </w:p>
    <w:p w14:paraId="706B8E05">
      <w:pPr>
        <w:spacing w:line="400" w:lineRule="exact"/>
        <w:ind w:firstLine="480" w:firstLineChars="200"/>
        <w:rPr>
          <w:rFonts w:ascii="宋体" w:hAnsi="宋体"/>
          <w:sz w:val="24"/>
        </w:rPr>
      </w:pPr>
      <w:r>
        <w:rPr>
          <w:rFonts w:hint="eastAsia" w:ascii="宋体" w:hAnsi="宋体"/>
          <w:sz w:val="24"/>
        </w:rPr>
        <w:t>3、系统功能全部正常：画面清晰无卡顿、无盲区、录像完整、时间准确、可回放下载。</w:t>
      </w:r>
    </w:p>
    <w:p w14:paraId="639A93F5">
      <w:pPr>
        <w:spacing w:line="400" w:lineRule="exact"/>
        <w:ind w:firstLine="480" w:firstLineChars="200"/>
        <w:rPr>
          <w:rFonts w:ascii="宋体" w:hAnsi="宋体"/>
          <w:sz w:val="24"/>
        </w:rPr>
      </w:pPr>
      <w:r>
        <w:rPr>
          <w:rFonts w:hint="eastAsia" w:ascii="宋体" w:hAnsi="宋体"/>
          <w:sz w:val="24"/>
        </w:rPr>
        <w:t>4、网络、光纤、设备运行稳定，72小时连续试运行无死机、断录、掉线故障。</w:t>
      </w:r>
    </w:p>
    <w:p w14:paraId="18B09C12">
      <w:pPr>
        <w:spacing w:line="400" w:lineRule="exact"/>
        <w:ind w:firstLine="480" w:firstLineChars="200"/>
        <w:rPr>
          <w:rFonts w:ascii="宋体" w:hAnsi="宋体"/>
          <w:sz w:val="24"/>
        </w:rPr>
      </w:pPr>
      <w:r>
        <w:rPr>
          <w:rFonts w:hint="eastAsia" w:ascii="宋体" w:hAnsi="宋体"/>
          <w:sz w:val="24"/>
        </w:rPr>
        <w:t>5、全部功能达到使用要求，验收合格后方可交付。</w:t>
      </w:r>
    </w:p>
    <w:p w14:paraId="2686B16F">
      <w:pPr>
        <w:spacing w:line="400" w:lineRule="exact"/>
        <w:ind w:firstLine="480" w:firstLineChars="200"/>
        <w:rPr>
          <w:rFonts w:ascii="宋体" w:hAnsi="宋体"/>
          <w:sz w:val="24"/>
        </w:rPr>
      </w:pPr>
      <w:r>
        <w:rPr>
          <w:rFonts w:hint="eastAsia" w:ascii="宋体" w:hAnsi="宋体"/>
          <w:sz w:val="24"/>
        </w:rPr>
        <w:t>（三）质保、</w:t>
      </w:r>
      <w:r>
        <w:rPr>
          <w:rFonts w:ascii="宋体" w:hAnsi="宋体"/>
          <w:sz w:val="24"/>
        </w:rPr>
        <w:t>维修及售后服务</w:t>
      </w:r>
    </w:p>
    <w:p w14:paraId="11C06573">
      <w:pPr>
        <w:spacing w:line="400" w:lineRule="exact"/>
        <w:ind w:firstLine="480" w:firstLineChars="200"/>
        <w:rPr>
          <w:rFonts w:ascii="宋体" w:hAnsi="宋体"/>
          <w:sz w:val="24"/>
        </w:rPr>
      </w:pPr>
      <w:r>
        <w:rPr>
          <w:rFonts w:hint="eastAsia" w:ascii="宋体" w:hAnsi="宋体"/>
          <w:sz w:val="24"/>
        </w:rPr>
        <w:t>1.本项目质保期为</w:t>
      </w:r>
      <w:r>
        <w:rPr>
          <w:rFonts w:hint="eastAsia" w:ascii="宋体" w:hAnsi="宋体"/>
          <w:sz w:val="24"/>
          <w:u w:val="single"/>
        </w:rPr>
        <w:t xml:space="preserve">  </w:t>
      </w:r>
      <w:r>
        <w:rPr>
          <w:rFonts w:ascii="宋体" w:hAnsi="宋体"/>
          <w:sz w:val="24"/>
          <w:highlight w:val="green"/>
          <w:u w:val="single"/>
        </w:rPr>
        <w:t>3</w:t>
      </w:r>
      <w:r>
        <w:rPr>
          <w:rFonts w:hint="eastAsia" w:ascii="宋体" w:hAnsi="宋体"/>
          <w:sz w:val="24"/>
          <w:u w:val="single"/>
        </w:rPr>
        <w:t xml:space="preserve">  </w:t>
      </w:r>
      <w:r>
        <w:rPr>
          <w:rFonts w:hint="eastAsia" w:ascii="宋体" w:hAnsi="宋体"/>
          <w:sz w:val="24"/>
        </w:rPr>
        <w:t>年，质保期内项目标的物出现非人为质量问题的，中标（或成交）人负责免费维修或更换，且不限次数，所需费用均由中标（或成交）供应商承担，采购人不支付任何费用。</w:t>
      </w:r>
    </w:p>
    <w:p w14:paraId="6A74AF7B">
      <w:pPr>
        <w:spacing w:line="400" w:lineRule="exact"/>
        <w:ind w:firstLine="480" w:firstLineChars="200"/>
        <w:rPr>
          <w:rFonts w:ascii="宋体" w:hAnsi="宋体"/>
          <w:sz w:val="24"/>
        </w:rPr>
      </w:pPr>
      <w:r>
        <w:rPr>
          <w:rFonts w:hint="eastAsia" w:ascii="宋体" w:hAnsi="宋体"/>
          <w:sz w:val="24"/>
        </w:rPr>
        <w:t>2.中标（或成交）人须设有24小时售后维修服务电话，负责解答采购人在使用过程中遇到的问题，及时提出解决问题的建议和操作方法。</w:t>
      </w:r>
    </w:p>
    <w:p w14:paraId="016A6682">
      <w:pPr>
        <w:spacing w:line="400" w:lineRule="exact"/>
        <w:ind w:firstLine="480" w:firstLineChars="200"/>
        <w:rPr>
          <w:rFonts w:ascii="宋体" w:hAnsi="宋体"/>
          <w:sz w:val="24"/>
        </w:rPr>
      </w:pPr>
      <w:r>
        <w:rPr>
          <w:rFonts w:hint="eastAsia" w:ascii="宋体" w:hAnsi="宋体"/>
          <w:sz w:val="24"/>
        </w:rPr>
        <w:t>3.售后服务响应时间：如设备（或货物）出现故障电话响应无法解决，中标（或成交）人必须在接报修电话后</w:t>
      </w:r>
      <w:r>
        <w:rPr>
          <w:rFonts w:hint="eastAsia" w:ascii="宋体" w:hAnsi="宋体"/>
          <w:sz w:val="24"/>
          <w:u w:val="single"/>
        </w:rPr>
        <w:t xml:space="preserve"> 12 </w:t>
      </w:r>
      <w:r>
        <w:rPr>
          <w:rFonts w:hint="eastAsia" w:ascii="宋体" w:hAnsi="宋体"/>
          <w:sz w:val="24"/>
        </w:rPr>
        <w:t>小时内到现场解决问题，且故障修复时间不大于</w:t>
      </w:r>
      <w:r>
        <w:rPr>
          <w:rFonts w:hint="eastAsia" w:ascii="宋体" w:hAnsi="宋体"/>
          <w:sz w:val="24"/>
          <w:u w:val="single"/>
        </w:rPr>
        <w:t xml:space="preserve"> 48  </w:t>
      </w:r>
      <w:r>
        <w:rPr>
          <w:rFonts w:hint="eastAsia" w:ascii="宋体" w:hAnsi="宋体"/>
          <w:sz w:val="24"/>
        </w:rPr>
        <w:t>小时</w:t>
      </w:r>
      <w:r>
        <w:rPr>
          <w:rFonts w:ascii="宋体" w:hAnsi="宋体"/>
          <w:sz w:val="24"/>
        </w:rPr>
        <w:t>。</w:t>
      </w:r>
    </w:p>
    <w:p w14:paraId="19F64340">
      <w:pPr>
        <w:spacing w:line="400" w:lineRule="exact"/>
        <w:ind w:firstLine="352" w:firstLineChars="147"/>
        <w:rPr>
          <w:rFonts w:ascii="宋体" w:hAnsi="宋体"/>
          <w:color w:val="000000"/>
          <w:sz w:val="24"/>
        </w:rPr>
      </w:pPr>
      <w:r>
        <w:rPr>
          <w:rFonts w:hint="eastAsia" w:ascii="宋体" w:hAnsi="宋体"/>
          <w:color w:val="000000"/>
          <w:sz w:val="24"/>
        </w:rPr>
        <w:t>（四）供货时间、地点和方式</w:t>
      </w:r>
    </w:p>
    <w:p w14:paraId="185B686A">
      <w:pPr>
        <w:spacing w:line="400" w:lineRule="exact"/>
        <w:ind w:firstLine="480" w:firstLineChars="200"/>
        <w:rPr>
          <w:rFonts w:ascii="宋体" w:hAnsi="宋体"/>
          <w:sz w:val="24"/>
          <w:highlight w:val="red"/>
        </w:rPr>
      </w:pPr>
      <w:r>
        <w:rPr>
          <w:rFonts w:hint="eastAsia" w:ascii="宋体" w:hAnsi="宋体"/>
          <w:sz w:val="24"/>
        </w:rPr>
        <w:t xml:space="preserve">1.签订合同后 </w:t>
      </w:r>
      <w:r>
        <w:rPr>
          <w:rFonts w:hint="eastAsia" w:ascii="宋体" w:hAnsi="宋体"/>
          <w:sz w:val="24"/>
          <w:u w:val="single"/>
        </w:rPr>
        <w:t xml:space="preserve"> </w:t>
      </w:r>
      <w:r>
        <w:rPr>
          <w:rFonts w:ascii="宋体" w:hAnsi="宋体"/>
          <w:sz w:val="24"/>
          <w:highlight w:val="green"/>
          <w:u w:val="single"/>
        </w:rPr>
        <w:t>1</w:t>
      </w:r>
      <w:r>
        <w:rPr>
          <w:rFonts w:hint="eastAsia" w:ascii="宋体" w:hAnsi="宋体"/>
          <w:sz w:val="24"/>
          <w:highlight w:val="green"/>
          <w:u w:val="single"/>
          <w:lang w:val="en-US" w:eastAsia="zh-CN"/>
        </w:rPr>
        <w:t>0</w:t>
      </w:r>
      <w:r>
        <w:rPr>
          <w:rFonts w:hint="eastAsia" w:ascii="宋体" w:hAnsi="宋体"/>
          <w:sz w:val="24"/>
          <w:u w:val="single"/>
        </w:rPr>
        <w:t xml:space="preserve">  </w:t>
      </w:r>
      <w:r>
        <w:rPr>
          <w:rFonts w:hint="eastAsia" w:ascii="宋体" w:hAnsi="宋体"/>
          <w:sz w:val="24"/>
        </w:rPr>
        <w:t>日内，中标（或成交）人将货物运抵采购人指定地点并安装调试完毕。</w:t>
      </w:r>
    </w:p>
    <w:p w14:paraId="4FF43A63">
      <w:pPr>
        <w:spacing w:line="400" w:lineRule="exact"/>
        <w:ind w:firstLine="480" w:firstLineChars="200"/>
        <w:rPr>
          <w:rFonts w:ascii="宋体" w:hAnsi="宋体"/>
          <w:sz w:val="24"/>
        </w:rPr>
      </w:pPr>
      <w:r>
        <w:rPr>
          <w:rFonts w:hint="eastAsia" w:ascii="宋体" w:hAnsi="宋体"/>
          <w:sz w:val="24"/>
        </w:rPr>
        <w:t>2.质保期满后，中标（或成交）人可以提供优先的有偿售后服务及按不高于响应文件中主要配件、易损件清单所报价格、供应原厂零配件等。软件终身免费升级服务(如果有)。</w:t>
      </w:r>
    </w:p>
    <w:p w14:paraId="4867AEAD">
      <w:pPr>
        <w:spacing w:line="400" w:lineRule="exact"/>
        <w:ind w:firstLine="480" w:firstLineChars="200"/>
        <w:rPr>
          <w:rFonts w:ascii="宋体" w:hAnsi="宋体"/>
          <w:sz w:val="24"/>
        </w:rPr>
      </w:pPr>
      <w:r>
        <w:rPr>
          <w:rFonts w:hint="eastAsia" w:ascii="宋体" w:hAnsi="宋体"/>
          <w:sz w:val="24"/>
          <w:highlight w:val="green"/>
        </w:rPr>
        <w:t>（五）付款方式：成交供应商完成全部设备供货、安装、布线、调试工作，监控系统运行稳定，与采购人原有监控平台兼容对接正常，经采购人组织竣工验收合格后，</w:t>
      </w:r>
      <w:r>
        <w:rPr>
          <w:rFonts w:hint="eastAsia" w:ascii="宋体" w:hAnsi="宋体"/>
          <w:sz w:val="24"/>
          <w:highlight w:val="green"/>
          <w:lang w:val="en-US" w:eastAsia="zh-CN"/>
        </w:rPr>
        <w:t>三个月内支付合同总价70%，验收合格满12个月，无质量问题，支付剩余30%</w:t>
      </w:r>
      <w:r>
        <w:rPr>
          <w:rFonts w:hint="eastAsia" w:ascii="宋体" w:hAnsi="宋体"/>
          <w:sz w:val="24"/>
          <w:highlight w:val="green"/>
        </w:rPr>
        <w:t>。</w:t>
      </w:r>
    </w:p>
    <w:p w14:paraId="6A12174B">
      <w:pPr>
        <w:spacing w:line="400" w:lineRule="exact"/>
        <w:ind w:firstLine="480" w:firstLineChars="200"/>
        <w:rPr>
          <w:rFonts w:ascii="宋体" w:hAnsi="宋体"/>
          <w:sz w:val="24"/>
        </w:rPr>
      </w:pPr>
      <w:r>
        <w:rPr>
          <w:rFonts w:hint="eastAsia" w:ascii="宋体" w:hAnsi="宋体"/>
          <w:sz w:val="24"/>
          <w:highlight w:val="green"/>
        </w:rPr>
        <w:t>本项目质保期</w:t>
      </w:r>
      <w:r>
        <w:rPr>
          <w:rFonts w:ascii="宋体" w:hAnsi="宋体"/>
          <w:sz w:val="24"/>
          <w:highlight w:val="green"/>
        </w:rPr>
        <w:t>3</w:t>
      </w:r>
      <w:r>
        <w:rPr>
          <w:rFonts w:hint="eastAsia" w:ascii="宋体" w:hAnsi="宋体"/>
          <w:sz w:val="24"/>
          <w:highlight w:val="green"/>
        </w:rPr>
        <w:t>年，质保期内成交供应商须提供免费维修、故障排查、系统维护等售后服务。</w:t>
      </w:r>
    </w:p>
    <w:p w14:paraId="5FEE5356">
      <w:pPr>
        <w:spacing w:line="400" w:lineRule="exact"/>
        <w:ind w:firstLine="482" w:firstLineChars="200"/>
        <w:rPr>
          <w:rFonts w:ascii="宋体" w:hAnsi="宋体"/>
          <w:b/>
          <w:sz w:val="24"/>
        </w:rPr>
      </w:pPr>
      <w:r>
        <w:rPr>
          <w:rFonts w:hint="eastAsia" w:ascii="宋体" w:hAnsi="宋体"/>
          <w:b/>
          <w:sz w:val="24"/>
        </w:rPr>
        <w:t>四、其他</w:t>
      </w:r>
    </w:p>
    <w:p w14:paraId="2B2640DE">
      <w:pPr>
        <w:spacing w:line="360" w:lineRule="auto"/>
        <w:ind w:firstLine="480" w:firstLineChars="200"/>
        <w:rPr>
          <w:rFonts w:ascii="宋体" w:hAnsi="宋体" w:cs="宋体"/>
          <w:sz w:val="24"/>
        </w:rPr>
      </w:pPr>
      <w:r>
        <w:rPr>
          <w:rFonts w:hint="eastAsia" w:ascii="宋体" w:hAnsi="宋体" w:cs="宋体"/>
          <w:sz w:val="24"/>
        </w:rPr>
        <w:t>（一）现场勘察</w:t>
      </w:r>
    </w:p>
    <w:p w14:paraId="083469AF">
      <w:pPr>
        <w:spacing w:line="360" w:lineRule="auto"/>
        <w:ind w:firstLine="480" w:firstLineChars="200"/>
        <w:rPr>
          <w:rFonts w:ascii="宋体" w:hAnsi="宋体" w:cs="宋体"/>
          <w:sz w:val="24"/>
        </w:rPr>
      </w:pPr>
      <w:r>
        <w:rPr>
          <w:rFonts w:hint="eastAsia" w:ascii="宋体" w:hAnsi="宋体" w:cs="宋体"/>
          <w:sz w:val="24"/>
        </w:rPr>
        <w:t>招标人不统一组织投标人对现场及周围环境进行踏勘，投标人可自行对现场及周围环境进行踏勘，以便获取须自己负责的有关编制投标文件和签署合同所需的所有资料。踏勘现场所发生的费用由投标人自己承担。</w:t>
      </w:r>
    </w:p>
    <w:p w14:paraId="3A8E3FCD">
      <w:pPr>
        <w:spacing w:line="360" w:lineRule="auto"/>
        <w:ind w:firstLine="480" w:firstLineChars="200"/>
        <w:rPr>
          <w:rFonts w:ascii="宋体" w:hAnsi="宋体" w:cs="宋体"/>
          <w:sz w:val="24"/>
        </w:rPr>
      </w:pPr>
      <w:r>
        <w:rPr>
          <w:rFonts w:hint="eastAsia" w:ascii="宋体" w:hAnsi="宋体" w:cs="宋体"/>
          <w:sz w:val="24"/>
        </w:rPr>
        <w:t>（二）</w:t>
      </w:r>
      <w:r>
        <w:rPr>
          <w:rFonts w:hint="eastAsia" w:ascii="宋体" w:hAnsi="宋体" w:cs="宋体"/>
          <w:sz w:val="24"/>
          <w:highlight w:val="green"/>
        </w:rPr>
        <w:t>项目完成后须与采购人现有在用监控平台完全匹配兼容，新增摄像机、存储设备应可正常接入原有监控平台，实现视频实时预览、录像调取回放、告警上传、设备统一管理等功能；对接产生的调试、协议适配等全部费用包含在投标总价内。若因供应商方案或设备选型问题造成无法对接原有平台，由成交供应商无偿更换设备、优化方案直至兼容达标，并承担由此产生的全部责任。</w:t>
      </w:r>
    </w:p>
    <w:p w14:paraId="5C3B041C">
      <w:pPr>
        <w:widowControl/>
        <w:snapToGrid w:val="0"/>
        <w:spacing w:line="440" w:lineRule="exact"/>
        <w:rPr>
          <w:rFonts w:ascii="宋体" w:hAnsi="宋体"/>
          <w:b/>
          <w:color w:val="000000"/>
          <w:sz w:val="28"/>
          <w:szCs w:val="28"/>
        </w:rPr>
      </w:pPr>
      <w:r>
        <w:rPr>
          <w:rFonts w:hint="eastAsia" w:ascii="宋体" w:hAnsi="宋体"/>
          <w:b/>
          <w:sz w:val="24"/>
        </w:rPr>
        <w:t>五、</w:t>
      </w:r>
      <w:r>
        <w:rPr>
          <w:rFonts w:hint="eastAsia" w:ascii="宋体" w:hAnsi="宋体"/>
          <w:b/>
          <w:color w:val="000000"/>
          <w:sz w:val="28"/>
          <w:szCs w:val="28"/>
        </w:rPr>
        <w:t>评标办法及细则</w:t>
      </w:r>
    </w:p>
    <w:p w14:paraId="49C98E10">
      <w:pPr>
        <w:spacing w:line="440" w:lineRule="exact"/>
        <w:ind w:firstLine="480" w:firstLineChars="200"/>
        <w:rPr>
          <w:rFonts w:ascii="宋体" w:hAnsi="宋体"/>
          <w:sz w:val="24"/>
        </w:rPr>
      </w:pPr>
      <w:r>
        <w:rPr>
          <w:rFonts w:hint="eastAsia" w:ascii="宋体" w:hAnsi="宋体"/>
          <w:sz w:val="24"/>
        </w:rPr>
        <w:t>本项目选用：最低评标价法。</w:t>
      </w:r>
    </w:p>
    <w:p w14:paraId="1AAC0242">
      <w:pPr>
        <w:spacing w:line="440" w:lineRule="exact"/>
        <w:ind w:firstLine="480" w:firstLineChars="200"/>
        <w:rPr>
          <w:rFonts w:ascii="宋体" w:hAnsi="宋体"/>
          <w:color w:val="000000"/>
          <w:sz w:val="24"/>
        </w:rPr>
      </w:pPr>
      <w:r>
        <w:rPr>
          <w:rFonts w:hint="eastAsia" w:ascii="宋体" w:hAnsi="宋体"/>
          <w:color w:val="000000"/>
          <w:sz w:val="24"/>
        </w:rPr>
        <w:t>最低评标价法，是指响应文件满足采购文件全部实质性要求且报价最低的供应商为中标或成交候选人的评标方法。</w:t>
      </w:r>
    </w:p>
    <w:p w14:paraId="17134CF7">
      <w:pPr>
        <w:pStyle w:val="9"/>
        <w:spacing w:line="440" w:lineRule="exact"/>
        <w:rPr>
          <w:rFonts w:ascii="宋体" w:hAnsi="宋体" w:cs="宋体"/>
          <w:color w:val="000000"/>
          <w:kern w:val="0"/>
          <w:sz w:val="24"/>
        </w:rPr>
      </w:pPr>
      <w:r>
        <w:rPr>
          <w:rFonts w:hint="eastAsia" w:ascii="宋体" w:hAnsi="宋体"/>
          <w:color w:val="000000"/>
          <w:sz w:val="24"/>
        </w:rPr>
        <w:t>六、</w:t>
      </w:r>
      <w:r>
        <w:rPr>
          <w:rFonts w:hint="eastAsia" w:ascii="宋体" w:hAnsi="宋体" w:cs="宋体"/>
          <w:color w:val="000000"/>
          <w:kern w:val="0"/>
          <w:sz w:val="24"/>
        </w:rPr>
        <w:t>供应商资格审查表</w:t>
      </w:r>
    </w:p>
    <w:tbl>
      <w:tblPr>
        <w:tblStyle w:val="23"/>
        <w:tblW w:w="8517" w:type="dxa"/>
        <w:tblInd w:w="93" w:type="dxa"/>
        <w:tblLayout w:type="fixed"/>
        <w:tblCellMar>
          <w:top w:w="0" w:type="dxa"/>
          <w:left w:w="108" w:type="dxa"/>
          <w:bottom w:w="0" w:type="dxa"/>
          <w:right w:w="108" w:type="dxa"/>
        </w:tblCellMar>
      </w:tblPr>
      <w:tblGrid>
        <w:gridCol w:w="572"/>
        <w:gridCol w:w="3162"/>
        <w:gridCol w:w="1442"/>
        <w:gridCol w:w="1256"/>
        <w:gridCol w:w="2085"/>
      </w:tblGrid>
      <w:tr w14:paraId="5E16B545">
        <w:tblPrEx>
          <w:tblCellMar>
            <w:top w:w="0" w:type="dxa"/>
            <w:left w:w="108" w:type="dxa"/>
            <w:bottom w:w="0" w:type="dxa"/>
            <w:right w:w="108" w:type="dxa"/>
          </w:tblCellMar>
        </w:tblPrEx>
        <w:trPr>
          <w:trHeight w:val="396" w:hRule="atLeast"/>
        </w:trPr>
        <w:tc>
          <w:tcPr>
            <w:tcW w:w="572" w:type="dxa"/>
            <w:vMerge w:val="restart"/>
            <w:tcBorders>
              <w:top w:val="single" w:color="auto" w:sz="4" w:space="0"/>
              <w:left w:val="single" w:color="auto" w:sz="4" w:space="0"/>
              <w:bottom w:val="single" w:color="000000" w:sz="4" w:space="0"/>
              <w:right w:val="single" w:color="auto" w:sz="4" w:space="0"/>
            </w:tcBorders>
            <w:vAlign w:val="center"/>
          </w:tcPr>
          <w:p w14:paraId="0803BDE6">
            <w:pPr>
              <w:widowControl/>
              <w:spacing w:line="400" w:lineRule="exact"/>
              <w:jc w:val="center"/>
              <w:rPr>
                <w:rFonts w:ascii="宋体" w:cs="宋体"/>
                <w:b/>
                <w:kern w:val="0"/>
                <w:sz w:val="28"/>
                <w:szCs w:val="28"/>
              </w:rPr>
            </w:pPr>
            <w:r>
              <w:rPr>
                <w:rFonts w:hint="eastAsia" w:ascii="宋体" w:hAnsi="宋体" w:cs="宋体"/>
                <w:b/>
                <w:kern w:val="0"/>
                <w:sz w:val="28"/>
                <w:szCs w:val="28"/>
              </w:rPr>
              <w:t>序号</w:t>
            </w:r>
          </w:p>
        </w:tc>
        <w:tc>
          <w:tcPr>
            <w:tcW w:w="3162" w:type="dxa"/>
            <w:vMerge w:val="restart"/>
            <w:tcBorders>
              <w:top w:val="single" w:color="auto" w:sz="4" w:space="0"/>
              <w:left w:val="single" w:color="auto" w:sz="4" w:space="0"/>
              <w:bottom w:val="single" w:color="000000" w:sz="4" w:space="0"/>
              <w:right w:val="single" w:color="auto" w:sz="4" w:space="0"/>
            </w:tcBorders>
            <w:vAlign w:val="center"/>
          </w:tcPr>
          <w:p w14:paraId="288A97D1">
            <w:pPr>
              <w:widowControl/>
              <w:spacing w:line="400" w:lineRule="exact"/>
              <w:jc w:val="center"/>
              <w:rPr>
                <w:rFonts w:ascii="宋体" w:cs="宋体"/>
                <w:b/>
                <w:kern w:val="0"/>
                <w:sz w:val="28"/>
                <w:szCs w:val="28"/>
              </w:rPr>
            </w:pPr>
            <w:r>
              <w:rPr>
                <w:rFonts w:hint="eastAsia" w:ascii="宋体" w:hAnsi="宋体" w:cs="宋体"/>
                <w:b/>
                <w:kern w:val="0"/>
                <w:sz w:val="28"/>
                <w:szCs w:val="28"/>
              </w:rPr>
              <w:t>资料名称</w:t>
            </w:r>
          </w:p>
        </w:tc>
        <w:tc>
          <w:tcPr>
            <w:tcW w:w="2698" w:type="dxa"/>
            <w:gridSpan w:val="2"/>
            <w:tcBorders>
              <w:top w:val="single" w:color="auto" w:sz="4" w:space="0"/>
              <w:left w:val="nil"/>
              <w:bottom w:val="single" w:color="auto" w:sz="4" w:space="0"/>
              <w:right w:val="single" w:color="000000" w:sz="4" w:space="0"/>
            </w:tcBorders>
            <w:vAlign w:val="center"/>
          </w:tcPr>
          <w:p w14:paraId="7393FFD1">
            <w:pPr>
              <w:widowControl/>
              <w:spacing w:line="400" w:lineRule="exact"/>
              <w:jc w:val="center"/>
              <w:rPr>
                <w:rFonts w:ascii="宋体" w:cs="宋体"/>
                <w:b/>
                <w:kern w:val="0"/>
                <w:sz w:val="28"/>
                <w:szCs w:val="28"/>
              </w:rPr>
            </w:pPr>
            <w:r>
              <w:rPr>
                <w:rFonts w:hint="eastAsia" w:ascii="宋体" w:hAnsi="宋体" w:cs="宋体"/>
                <w:b/>
                <w:kern w:val="0"/>
                <w:sz w:val="28"/>
                <w:szCs w:val="28"/>
              </w:rPr>
              <w:t>提供方式</w:t>
            </w:r>
          </w:p>
        </w:tc>
        <w:tc>
          <w:tcPr>
            <w:tcW w:w="2085" w:type="dxa"/>
            <w:vMerge w:val="restart"/>
            <w:tcBorders>
              <w:top w:val="single" w:color="auto" w:sz="4" w:space="0"/>
              <w:left w:val="single" w:color="auto" w:sz="4" w:space="0"/>
              <w:bottom w:val="single" w:color="000000" w:sz="4" w:space="0"/>
              <w:right w:val="single" w:color="auto" w:sz="4" w:space="0"/>
            </w:tcBorders>
            <w:vAlign w:val="center"/>
          </w:tcPr>
          <w:p w14:paraId="0BCCC92E">
            <w:pPr>
              <w:widowControl/>
              <w:spacing w:line="400" w:lineRule="exact"/>
              <w:jc w:val="center"/>
              <w:rPr>
                <w:rFonts w:ascii="宋体" w:cs="宋体"/>
                <w:b/>
                <w:kern w:val="0"/>
                <w:sz w:val="28"/>
                <w:szCs w:val="28"/>
              </w:rPr>
            </w:pPr>
            <w:r>
              <w:rPr>
                <w:rFonts w:hint="eastAsia" w:ascii="宋体" w:hAnsi="宋体" w:cs="宋体"/>
                <w:b/>
                <w:kern w:val="0"/>
                <w:sz w:val="28"/>
                <w:szCs w:val="28"/>
              </w:rPr>
              <w:t>备注</w:t>
            </w:r>
          </w:p>
        </w:tc>
      </w:tr>
      <w:tr w14:paraId="38346E66">
        <w:tblPrEx>
          <w:tblCellMar>
            <w:top w:w="0" w:type="dxa"/>
            <w:left w:w="108" w:type="dxa"/>
            <w:bottom w:w="0" w:type="dxa"/>
            <w:right w:w="108" w:type="dxa"/>
          </w:tblCellMar>
        </w:tblPrEx>
        <w:trPr>
          <w:trHeight w:val="396" w:hRule="atLeast"/>
        </w:trPr>
        <w:tc>
          <w:tcPr>
            <w:tcW w:w="572" w:type="dxa"/>
            <w:vMerge w:val="continue"/>
            <w:tcBorders>
              <w:top w:val="single" w:color="auto" w:sz="4" w:space="0"/>
              <w:left w:val="single" w:color="auto" w:sz="4" w:space="0"/>
              <w:bottom w:val="single" w:color="000000" w:sz="4" w:space="0"/>
              <w:right w:val="single" w:color="auto" w:sz="4" w:space="0"/>
            </w:tcBorders>
            <w:vAlign w:val="center"/>
          </w:tcPr>
          <w:p w14:paraId="191D23EF">
            <w:pPr>
              <w:widowControl/>
              <w:jc w:val="left"/>
              <w:rPr>
                <w:rFonts w:ascii="宋体" w:cs="宋体"/>
                <w:b/>
                <w:kern w:val="0"/>
                <w:szCs w:val="21"/>
              </w:rPr>
            </w:pPr>
          </w:p>
        </w:tc>
        <w:tc>
          <w:tcPr>
            <w:tcW w:w="3162" w:type="dxa"/>
            <w:vMerge w:val="continue"/>
            <w:tcBorders>
              <w:top w:val="single" w:color="auto" w:sz="4" w:space="0"/>
              <w:left w:val="single" w:color="auto" w:sz="4" w:space="0"/>
              <w:bottom w:val="single" w:color="000000" w:sz="4" w:space="0"/>
              <w:right w:val="single" w:color="auto" w:sz="4" w:space="0"/>
            </w:tcBorders>
            <w:vAlign w:val="center"/>
          </w:tcPr>
          <w:p w14:paraId="72D7E256">
            <w:pPr>
              <w:widowControl/>
              <w:jc w:val="left"/>
              <w:rPr>
                <w:rFonts w:ascii="宋体" w:cs="宋体"/>
                <w:b/>
                <w:kern w:val="0"/>
                <w:szCs w:val="21"/>
              </w:rPr>
            </w:pPr>
          </w:p>
        </w:tc>
        <w:tc>
          <w:tcPr>
            <w:tcW w:w="1442" w:type="dxa"/>
            <w:tcBorders>
              <w:top w:val="nil"/>
              <w:left w:val="nil"/>
              <w:bottom w:val="single" w:color="auto" w:sz="4" w:space="0"/>
              <w:right w:val="single" w:color="auto" w:sz="4" w:space="0"/>
            </w:tcBorders>
            <w:vAlign w:val="center"/>
          </w:tcPr>
          <w:p w14:paraId="0F76EABE">
            <w:pPr>
              <w:widowControl/>
              <w:spacing w:line="400" w:lineRule="exact"/>
              <w:jc w:val="center"/>
              <w:rPr>
                <w:rFonts w:ascii="宋体" w:cs="宋体"/>
                <w:b/>
                <w:kern w:val="0"/>
                <w:sz w:val="28"/>
                <w:szCs w:val="28"/>
              </w:rPr>
            </w:pPr>
            <w:r>
              <w:rPr>
                <w:rFonts w:hint="eastAsia" w:ascii="宋体" w:hAnsi="宋体" w:cs="宋体"/>
                <w:b/>
                <w:kern w:val="0"/>
                <w:sz w:val="28"/>
                <w:szCs w:val="28"/>
              </w:rPr>
              <w:t>原件</w:t>
            </w:r>
          </w:p>
        </w:tc>
        <w:tc>
          <w:tcPr>
            <w:tcW w:w="1256" w:type="dxa"/>
            <w:tcBorders>
              <w:top w:val="nil"/>
              <w:left w:val="nil"/>
              <w:bottom w:val="single" w:color="auto" w:sz="4" w:space="0"/>
              <w:right w:val="single" w:color="auto" w:sz="4" w:space="0"/>
            </w:tcBorders>
            <w:vAlign w:val="center"/>
          </w:tcPr>
          <w:p w14:paraId="5B632253">
            <w:pPr>
              <w:widowControl/>
              <w:spacing w:line="400" w:lineRule="exact"/>
              <w:jc w:val="center"/>
              <w:rPr>
                <w:rFonts w:ascii="宋体" w:cs="宋体"/>
                <w:b/>
                <w:kern w:val="0"/>
                <w:sz w:val="28"/>
                <w:szCs w:val="28"/>
              </w:rPr>
            </w:pPr>
            <w:r>
              <w:rPr>
                <w:rFonts w:hint="eastAsia" w:ascii="宋体" w:hAnsi="宋体" w:cs="宋体"/>
                <w:b/>
                <w:kern w:val="0"/>
                <w:sz w:val="28"/>
                <w:szCs w:val="28"/>
              </w:rPr>
              <w:t>复印件</w:t>
            </w:r>
          </w:p>
        </w:tc>
        <w:tc>
          <w:tcPr>
            <w:tcW w:w="2085" w:type="dxa"/>
            <w:vMerge w:val="continue"/>
            <w:tcBorders>
              <w:top w:val="single" w:color="auto" w:sz="4" w:space="0"/>
              <w:left w:val="single" w:color="auto" w:sz="4" w:space="0"/>
              <w:bottom w:val="single" w:color="000000" w:sz="4" w:space="0"/>
              <w:right w:val="single" w:color="auto" w:sz="4" w:space="0"/>
            </w:tcBorders>
            <w:vAlign w:val="center"/>
          </w:tcPr>
          <w:p w14:paraId="755D73F6">
            <w:pPr>
              <w:widowControl/>
              <w:jc w:val="left"/>
              <w:rPr>
                <w:rFonts w:ascii="宋体" w:cs="宋体"/>
                <w:b/>
                <w:kern w:val="0"/>
                <w:szCs w:val="21"/>
              </w:rPr>
            </w:pPr>
          </w:p>
        </w:tc>
      </w:tr>
      <w:tr w14:paraId="7FB3E78F">
        <w:tblPrEx>
          <w:tblCellMar>
            <w:top w:w="0" w:type="dxa"/>
            <w:left w:w="108" w:type="dxa"/>
            <w:bottom w:w="0" w:type="dxa"/>
            <w:right w:w="108" w:type="dxa"/>
          </w:tblCellMar>
        </w:tblPrEx>
        <w:trPr>
          <w:trHeight w:val="1163" w:hRule="atLeast"/>
        </w:trPr>
        <w:tc>
          <w:tcPr>
            <w:tcW w:w="572" w:type="dxa"/>
            <w:tcBorders>
              <w:top w:val="nil"/>
              <w:left w:val="single" w:color="auto" w:sz="4" w:space="0"/>
              <w:bottom w:val="single" w:color="auto" w:sz="4" w:space="0"/>
              <w:right w:val="single" w:color="auto" w:sz="4" w:space="0"/>
            </w:tcBorders>
            <w:vAlign w:val="center"/>
          </w:tcPr>
          <w:p w14:paraId="1EE7565D">
            <w:pPr>
              <w:widowControl/>
              <w:spacing w:line="400" w:lineRule="exact"/>
              <w:jc w:val="center"/>
              <w:rPr>
                <w:rFonts w:ascii="宋体" w:hAnsi="宋体"/>
                <w:szCs w:val="21"/>
              </w:rPr>
            </w:pPr>
            <w:r>
              <w:rPr>
                <w:rFonts w:ascii="宋体" w:hAnsi="宋体"/>
                <w:szCs w:val="21"/>
              </w:rPr>
              <w:t>1</w:t>
            </w:r>
          </w:p>
        </w:tc>
        <w:tc>
          <w:tcPr>
            <w:tcW w:w="3162" w:type="dxa"/>
            <w:tcBorders>
              <w:top w:val="nil"/>
              <w:left w:val="nil"/>
              <w:bottom w:val="single" w:color="auto" w:sz="4" w:space="0"/>
              <w:right w:val="single" w:color="auto" w:sz="4" w:space="0"/>
            </w:tcBorders>
            <w:vAlign w:val="center"/>
          </w:tcPr>
          <w:p w14:paraId="7B1CDDB9">
            <w:pPr>
              <w:widowControl/>
              <w:spacing w:line="400" w:lineRule="exact"/>
              <w:jc w:val="left"/>
              <w:rPr>
                <w:rFonts w:ascii="宋体" w:hAnsi="宋体"/>
                <w:szCs w:val="21"/>
              </w:rPr>
            </w:pPr>
            <w:r>
              <w:rPr>
                <w:rFonts w:hint="eastAsia" w:ascii="宋体" w:hAnsi="宋体"/>
                <w:szCs w:val="21"/>
              </w:rPr>
              <w:t>投标人《营业执照》、《税务登记证》、《组织机构代码证》或三证合一后的营业执照</w:t>
            </w:r>
          </w:p>
        </w:tc>
        <w:tc>
          <w:tcPr>
            <w:tcW w:w="1442" w:type="dxa"/>
            <w:tcBorders>
              <w:top w:val="nil"/>
              <w:left w:val="nil"/>
              <w:bottom w:val="single" w:color="auto" w:sz="4" w:space="0"/>
              <w:right w:val="single" w:color="auto" w:sz="4" w:space="0"/>
            </w:tcBorders>
            <w:vAlign w:val="center"/>
          </w:tcPr>
          <w:p w14:paraId="215894F0">
            <w:pPr>
              <w:widowControl/>
              <w:spacing w:line="400" w:lineRule="exact"/>
              <w:jc w:val="center"/>
              <w:rPr>
                <w:rFonts w:ascii="宋体" w:hAnsi="宋体"/>
                <w:szCs w:val="21"/>
              </w:rPr>
            </w:pPr>
            <w:r>
              <w:rPr>
                <w:rFonts w:ascii="宋体" w:hAnsi="宋体"/>
                <w:szCs w:val="21"/>
              </w:rPr>
              <w:t>--</w:t>
            </w:r>
          </w:p>
        </w:tc>
        <w:tc>
          <w:tcPr>
            <w:tcW w:w="1256" w:type="dxa"/>
            <w:tcBorders>
              <w:top w:val="nil"/>
              <w:left w:val="nil"/>
              <w:bottom w:val="single" w:color="auto" w:sz="4" w:space="0"/>
              <w:right w:val="single" w:color="auto" w:sz="4" w:space="0"/>
            </w:tcBorders>
            <w:vAlign w:val="center"/>
          </w:tcPr>
          <w:p w14:paraId="13B078AA">
            <w:pPr>
              <w:widowControl/>
              <w:spacing w:line="400" w:lineRule="exact"/>
              <w:jc w:val="center"/>
              <w:rPr>
                <w:rFonts w:ascii="宋体" w:hAnsi="宋体"/>
                <w:szCs w:val="21"/>
              </w:rPr>
            </w:pPr>
            <w:r>
              <w:rPr>
                <w:rFonts w:hint="eastAsia" w:ascii="宋体" w:hAnsi="宋体"/>
                <w:szCs w:val="21"/>
              </w:rPr>
              <w:t>按要求装订</w:t>
            </w:r>
          </w:p>
        </w:tc>
        <w:tc>
          <w:tcPr>
            <w:tcW w:w="2085" w:type="dxa"/>
            <w:tcBorders>
              <w:top w:val="nil"/>
              <w:left w:val="nil"/>
              <w:bottom w:val="single" w:color="auto" w:sz="4" w:space="0"/>
              <w:right w:val="single" w:color="auto" w:sz="4" w:space="0"/>
            </w:tcBorders>
            <w:vAlign w:val="center"/>
          </w:tcPr>
          <w:p w14:paraId="2F273C01">
            <w:pPr>
              <w:widowControl/>
              <w:spacing w:line="400" w:lineRule="exact"/>
              <w:jc w:val="center"/>
              <w:rPr>
                <w:rFonts w:ascii="宋体" w:hAnsi="宋体"/>
                <w:szCs w:val="21"/>
              </w:rPr>
            </w:pPr>
          </w:p>
        </w:tc>
      </w:tr>
      <w:tr w14:paraId="7D4B6557">
        <w:tblPrEx>
          <w:tblCellMar>
            <w:top w:w="0" w:type="dxa"/>
            <w:left w:w="108" w:type="dxa"/>
            <w:bottom w:w="0" w:type="dxa"/>
            <w:right w:w="108" w:type="dxa"/>
          </w:tblCellMar>
        </w:tblPrEx>
        <w:trPr>
          <w:trHeight w:val="779" w:hRule="atLeast"/>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20A94F29">
            <w:pPr>
              <w:spacing w:line="400" w:lineRule="exact"/>
              <w:jc w:val="center"/>
              <w:rPr>
                <w:rFonts w:ascii="宋体" w:hAnsi="宋体"/>
                <w:szCs w:val="21"/>
              </w:rPr>
            </w:pPr>
            <w:r>
              <w:rPr>
                <w:rFonts w:ascii="宋体" w:hAnsi="宋体"/>
                <w:szCs w:val="21"/>
              </w:rPr>
              <w:t>2</w:t>
            </w:r>
          </w:p>
        </w:tc>
        <w:tc>
          <w:tcPr>
            <w:tcW w:w="3162" w:type="dxa"/>
            <w:tcBorders>
              <w:top w:val="nil"/>
              <w:left w:val="nil"/>
              <w:bottom w:val="single" w:color="auto" w:sz="4" w:space="0"/>
              <w:right w:val="single" w:color="auto" w:sz="4" w:space="0"/>
            </w:tcBorders>
            <w:vAlign w:val="center"/>
          </w:tcPr>
          <w:p w14:paraId="29ABD449">
            <w:pPr>
              <w:widowControl/>
              <w:spacing w:line="400" w:lineRule="exact"/>
              <w:jc w:val="left"/>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）法定代表人身份证明文件（格式）</w:t>
            </w:r>
          </w:p>
        </w:tc>
        <w:tc>
          <w:tcPr>
            <w:tcW w:w="1442" w:type="dxa"/>
            <w:tcBorders>
              <w:top w:val="nil"/>
              <w:left w:val="nil"/>
              <w:bottom w:val="single" w:color="auto" w:sz="4" w:space="0"/>
              <w:right w:val="single" w:color="auto" w:sz="4" w:space="0"/>
            </w:tcBorders>
            <w:vAlign w:val="center"/>
          </w:tcPr>
          <w:p w14:paraId="1737B98C">
            <w:pPr>
              <w:widowControl/>
              <w:spacing w:line="400" w:lineRule="exact"/>
              <w:jc w:val="center"/>
              <w:rPr>
                <w:rFonts w:ascii="宋体" w:hAnsi="宋体"/>
                <w:szCs w:val="21"/>
              </w:rPr>
            </w:pPr>
            <w:r>
              <w:rPr>
                <w:rFonts w:hint="eastAsia" w:ascii="宋体" w:hAnsi="宋体"/>
                <w:szCs w:val="21"/>
              </w:rPr>
              <w:t>按要求</w:t>
            </w:r>
          </w:p>
          <w:p w14:paraId="2BEA8FF3">
            <w:pPr>
              <w:widowControl/>
              <w:spacing w:line="400" w:lineRule="exact"/>
              <w:jc w:val="center"/>
              <w:rPr>
                <w:rFonts w:ascii="宋体" w:hAnsi="宋体"/>
                <w:szCs w:val="21"/>
              </w:rPr>
            </w:pPr>
            <w:r>
              <w:rPr>
                <w:rFonts w:hint="eastAsia" w:ascii="宋体" w:hAnsi="宋体"/>
                <w:szCs w:val="21"/>
              </w:rPr>
              <w:t>装订</w:t>
            </w:r>
          </w:p>
        </w:tc>
        <w:tc>
          <w:tcPr>
            <w:tcW w:w="1256" w:type="dxa"/>
            <w:tcBorders>
              <w:top w:val="nil"/>
              <w:left w:val="nil"/>
              <w:bottom w:val="single" w:color="auto" w:sz="4" w:space="0"/>
              <w:right w:val="single" w:color="auto" w:sz="4" w:space="0"/>
            </w:tcBorders>
            <w:vAlign w:val="center"/>
          </w:tcPr>
          <w:p w14:paraId="5A96B281">
            <w:pPr>
              <w:widowControl/>
              <w:spacing w:line="400" w:lineRule="exact"/>
              <w:jc w:val="center"/>
              <w:rPr>
                <w:rFonts w:ascii="宋体" w:hAnsi="宋体"/>
                <w:szCs w:val="21"/>
              </w:rPr>
            </w:pPr>
            <w:r>
              <w:rPr>
                <w:rFonts w:ascii="宋体" w:hAnsi="宋体"/>
                <w:szCs w:val="21"/>
              </w:rPr>
              <w:t>--</w:t>
            </w:r>
          </w:p>
        </w:tc>
        <w:tc>
          <w:tcPr>
            <w:tcW w:w="2085" w:type="dxa"/>
            <w:vMerge w:val="restart"/>
            <w:tcBorders>
              <w:top w:val="nil"/>
              <w:left w:val="nil"/>
              <w:bottom w:val="single" w:color="auto" w:sz="4" w:space="0"/>
              <w:right w:val="single" w:color="auto" w:sz="4" w:space="0"/>
            </w:tcBorders>
            <w:vAlign w:val="center"/>
          </w:tcPr>
          <w:p w14:paraId="7A326611">
            <w:pPr>
              <w:widowControl/>
              <w:spacing w:line="400" w:lineRule="exact"/>
              <w:jc w:val="center"/>
              <w:rPr>
                <w:rFonts w:ascii="宋体" w:hAnsi="宋体"/>
                <w:szCs w:val="21"/>
              </w:rPr>
            </w:pPr>
            <w:r>
              <w:rPr>
                <w:rFonts w:hint="eastAsia" w:ascii="宋体" w:hAnsi="宋体"/>
                <w:szCs w:val="21"/>
              </w:rPr>
              <w:t>法定代表人亲自参加</w:t>
            </w:r>
          </w:p>
          <w:p w14:paraId="2817D26F">
            <w:pPr>
              <w:widowControl/>
              <w:spacing w:line="400" w:lineRule="exact"/>
              <w:jc w:val="center"/>
              <w:rPr>
                <w:rFonts w:ascii="宋体" w:hAnsi="宋体"/>
                <w:szCs w:val="21"/>
              </w:rPr>
            </w:pPr>
            <w:r>
              <w:rPr>
                <w:rFonts w:hint="eastAsia" w:ascii="宋体" w:hAnsi="宋体"/>
                <w:szCs w:val="21"/>
              </w:rPr>
              <w:t>投标的提供</w:t>
            </w:r>
          </w:p>
        </w:tc>
      </w:tr>
      <w:tr w14:paraId="7DC9E3E4">
        <w:tblPrEx>
          <w:tblCellMar>
            <w:top w:w="0" w:type="dxa"/>
            <w:left w:w="108" w:type="dxa"/>
            <w:bottom w:w="0" w:type="dxa"/>
            <w:right w:w="108" w:type="dxa"/>
          </w:tblCellMar>
        </w:tblPrEx>
        <w:trPr>
          <w:trHeight w:val="396" w:hRule="atLeast"/>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4492F70C">
            <w:pPr>
              <w:widowControl/>
              <w:jc w:val="left"/>
              <w:rPr>
                <w:rFonts w:ascii="宋体" w:hAnsi="宋体"/>
                <w:szCs w:val="21"/>
              </w:rPr>
            </w:pPr>
          </w:p>
        </w:tc>
        <w:tc>
          <w:tcPr>
            <w:tcW w:w="3162" w:type="dxa"/>
            <w:tcBorders>
              <w:top w:val="nil"/>
              <w:left w:val="nil"/>
              <w:bottom w:val="single" w:color="auto" w:sz="4" w:space="0"/>
              <w:right w:val="single" w:color="auto" w:sz="4" w:space="0"/>
            </w:tcBorders>
            <w:vAlign w:val="center"/>
          </w:tcPr>
          <w:p w14:paraId="57DF40A0">
            <w:pPr>
              <w:widowControl/>
              <w:spacing w:line="400" w:lineRule="exact"/>
              <w:jc w:val="left"/>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）《法人代表身份证》</w:t>
            </w:r>
          </w:p>
        </w:tc>
        <w:tc>
          <w:tcPr>
            <w:tcW w:w="1442" w:type="dxa"/>
            <w:tcBorders>
              <w:top w:val="nil"/>
              <w:left w:val="nil"/>
              <w:bottom w:val="single" w:color="auto" w:sz="4" w:space="0"/>
              <w:right w:val="single" w:color="auto" w:sz="4" w:space="0"/>
            </w:tcBorders>
            <w:vAlign w:val="center"/>
          </w:tcPr>
          <w:p w14:paraId="3F381E02">
            <w:pPr>
              <w:widowControl/>
              <w:spacing w:line="400" w:lineRule="exact"/>
              <w:jc w:val="center"/>
              <w:rPr>
                <w:rFonts w:ascii="宋体" w:hAnsi="宋体"/>
                <w:szCs w:val="21"/>
              </w:rPr>
            </w:pPr>
            <w:r>
              <w:rPr>
                <w:rFonts w:hint="eastAsia" w:ascii="宋体" w:hAnsi="宋体"/>
                <w:szCs w:val="21"/>
              </w:rPr>
              <w:t>现场备查</w:t>
            </w:r>
          </w:p>
        </w:tc>
        <w:tc>
          <w:tcPr>
            <w:tcW w:w="1256" w:type="dxa"/>
            <w:tcBorders>
              <w:top w:val="nil"/>
              <w:left w:val="nil"/>
              <w:bottom w:val="single" w:color="auto" w:sz="4" w:space="0"/>
              <w:right w:val="single" w:color="auto" w:sz="4" w:space="0"/>
            </w:tcBorders>
            <w:vAlign w:val="center"/>
          </w:tcPr>
          <w:p w14:paraId="1506A62A">
            <w:pPr>
              <w:widowControl/>
              <w:spacing w:line="400" w:lineRule="exact"/>
              <w:jc w:val="center"/>
              <w:rPr>
                <w:rFonts w:ascii="宋体" w:hAnsi="宋体"/>
                <w:szCs w:val="21"/>
              </w:rPr>
            </w:pPr>
            <w:r>
              <w:rPr>
                <w:rFonts w:hint="eastAsia" w:ascii="宋体" w:hAnsi="宋体"/>
                <w:szCs w:val="21"/>
              </w:rPr>
              <w:t>按要求装订</w:t>
            </w:r>
          </w:p>
        </w:tc>
        <w:tc>
          <w:tcPr>
            <w:tcW w:w="2085" w:type="dxa"/>
            <w:vMerge w:val="continue"/>
            <w:tcBorders>
              <w:top w:val="nil"/>
              <w:left w:val="nil"/>
              <w:bottom w:val="single" w:color="auto" w:sz="4" w:space="0"/>
              <w:right w:val="single" w:color="auto" w:sz="4" w:space="0"/>
            </w:tcBorders>
            <w:vAlign w:val="center"/>
          </w:tcPr>
          <w:p w14:paraId="22274801">
            <w:pPr>
              <w:widowControl/>
              <w:jc w:val="left"/>
              <w:rPr>
                <w:rFonts w:ascii="宋体" w:hAnsi="宋体"/>
                <w:szCs w:val="21"/>
              </w:rPr>
            </w:pPr>
          </w:p>
        </w:tc>
      </w:tr>
      <w:tr w14:paraId="2B0FC16A">
        <w:tblPrEx>
          <w:tblCellMar>
            <w:top w:w="0" w:type="dxa"/>
            <w:left w:w="108" w:type="dxa"/>
            <w:bottom w:w="0" w:type="dxa"/>
            <w:right w:w="108" w:type="dxa"/>
          </w:tblCellMar>
        </w:tblPrEx>
        <w:trPr>
          <w:trHeight w:val="779" w:hRule="atLeast"/>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381FB115">
            <w:pPr>
              <w:widowControl/>
              <w:jc w:val="left"/>
              <w:rPr>
                <w:rFonts w:ascii="宋体" w:hAnsi="宋体"/>
                <w:szCs w:val="21"/>
              </w:rPr>
            </w:pPr>
          </w:p>
        </w:tc>
        <w:tc>
          <w:tcPr>
            <w:tcW w:w="3162" w:type="dxa"/>
            <w:tcBorders>
              <w:top w:val="nil"/>
              <w:left w:val="nil"/>
              <w:bottom w:val="single" w:color="auto" w:sz="4" w:space="0"/>
              <w:right w:val="single" w:color="auto" w:sz="4" w:space="0"/>
            </w:tcBorders>
            <w:vAlign w:val="center"/>
          </w:tcPr>
          <w:p w14:paraId="34D6D1FE">
            <w:pPr>
              <w:widowControl/>
              <w:spacing w:line="400" w:lineRule="exact"/>
              <w:jc w:val="left"/>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）法定代表人授权委托书（格式）</w:t>
            </w:r>
          </w:p>
        </w:tc>
        <w:tc>
          <w:tcPr>
            <w:tcW w:w="1442" w:type="dxa"/>
            <w:tcBorders>
              <w:top w:val="nil"/>
              <w:left w:val="nil"/>
              <w:bottom w:val="single" w:color="auto" w:sz="4" w:space="0"/>
              <w:right w:val="single" w:color="auto" w:sz="4" w:space="0"/>
            </w:tcBorders>
            <w:vAlign w:val="center"/>
          </w:tcPr>
          <w:p w14:paraId="4936C6ED">
            <w:pPr>
              <w:widowControl/>
              <w:spacing w:line="400" w:lineRule="exact"/>
              <w:jc w:val="center"/>
              <w:rPr>
                <w:rFonts w:ascii="宋体" w:hAnsi="宋体"/>
                <w:szCs w:val="21"/>
              </w:rPr>
            </w:pPr>
            <w:r>
              <w:rPr>
                <w:rFonts w:hint="eastAsia" w:ascii="宋体" w:hAnsi="宋体"/>
                <w:szCs w:val="21"/>
              </w:rPr>
              <w:t>按要求</w:t>
            </w:r>
          </w:p>
          <w:p w14:paraId="547388D8">
            <w:pPr>
              <w:widowControl/>
              <w:spacing w:line="400" w:lineRule="exact"/>
              <w:jc w:val="center"/>
              <w:rPr>
                <w:rFonts w:ascii="宋体" w:hAnsi="宋体"/>
                <w:szCs w:val="21"/>
              </w:rPr>
            </w:pPr>
            <w:r>
              <w:rPr>
                <w:rFonts w:hint="eastAsia" w:ascii="宋体" w:hAnsi="宋体"/>
                <w:szCs w:val="21"/>
              </w:rPr>
              <w:t>装订</w:t>
            </w:r>
          </w:p>
        </w:tc>
        <w:tc>
          <w:tcPr>
            <w:tcW w:w="1256" w:type="dxa"/>
            <w:tcBorders>
              <w:top w:val="nil"/>
              <w:left w:val="nil"/>
              <w:bottom w:val="single" w:color="auto" w:sz="4" w:space="0"/>
              <w:right w:val="single" w:color="auto" w:sz="4" w:space="0"/>
            </w:tcBorders>
            <w:vAlign w:val="center"/>
          </w:tcPr>
          <w:p w14:paraId="548F0E83">
            <w:pPr>
              <w:widowControl/>
              <w:spacing w:line="400" w:lineRule="exact"/>
              <w:jc w:val="center"/>
              <w:rPr>
                <w:rFonts w:ascii="宋体" w:hAnsi="宋体"/>
                <w:szCs w:val="21"/>
              </w:rPr>
            </w:pPr>
            <w:r>
              <w:rPr>
                <w:rFonts w:ascii="宋体" w:hAnsi="宋体"/>
                <w:szCs w:val="21"/>
              </w:rPr>
              <w:t>--</w:t>
            </w:r>
          </w:p>
        </w:tc>
        <w:tc>
          <w:tcPr>
            <w:tcW w:w="2085" w:type="dxa"/>
            <w:vMerge w:val="restart"/>
            <w:tcBorders>
              <w:top w:val="single" w:color="auto" w:sz="4" w:space="0"/>
              <w:left w:val="single" w:color="auto" w:sz="4" w:space="0"/>
              <w:bottom w:val="single" w:color="auto" w:sz="4" w:space="0"/>
              <w:right w:val="single" w:color="auto" w:sz="4" w:space="0"/>
            </w:tcBorders>
            <w:vAlign w:val="center"/>
          </w:tcPr>
          <w:p w14:paraId="1405D140">
            <w:pPr>
              <w:widowControl/>
              <w:spacing w:line="400" w:lineRule="exact"/>
              <w:jc w:val="center"/>
              <w:rPr>
                <w:rFonts w:ascii="宋体" w:hAnsi="宋体"/>
                <w:szCs w:val="21"/>
              </w:rPr>
            </w:pPr>
            <w:r>
              <w:rPr>
                <w:rFonts w:hint="eastAsia" w:ascii="宋体" w:hAnsi="宋体"/>
                <w:szCs w:val="21"/>
              </w:rPr>
              <w:t>授权代表参加</w:t>
            </w:r>
          </w:p>
          <w:p w14:paraId="2D0EB48E">
            <w:pPr>
              <w:spacing w:line="400" w:lineRule="exact"/>
              <w:jc w:val="center"/>
              <w:rPr>
                <w:rFonts w:ascii="宋体" w:hAnsi="宋体"/>
                <w:szCs w:val="21"/>
              </w:rPr>
            </w:pPr>
            <w:r>
              <w:rPr>
                <w:rFonts w:hint="eastAsia" w:ascii="宋体" w:hAnsi="宋体"/>
                <w:szCs w:val="21"/>
              </w:rPr>
              <w:t>投标的提供</w:t>
            </w:r>
          </w:p>
        </w:tc>
      </w:tr>
      <w:tr w14:paraId="74D98B75">
        <w:tblPrEx>
          <w:tblCellMar>
            <w:top w:w="0" w:type="dxa"/>
            <w:left w:w="108" w:type="dxa"/>
            <w:bottom w:w="0" w:type="dxa"/>
            <w:right w:w="108" w:type="dxa"/>
          </w:tblCellMar>
        </w:tblPrEx>
        <w:trPr>
          <w:trHeight w:val="396" w:hRule="atLeast"/>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586890E2">
            <w:pPr>
              <w:widowControl/>
              <w:jc w:val="left"/>
              <w:rPr>
                <w:rFonts w:ascii="宋体" w:hAnsi="宋体"/>
                <w:szCs w:val="21"/>
              </w:rPr>
            </w:pPr>
          </w:p>
        </w:tc>
        <w:tc>
          <w:tcPr>
            <w:tcW w:w="3162" w:type="dxa"/>
            <w:tcBorders>
              <w:top w:val="nil"/>
              <w:left w:val="nil"/>
              <w:bottom w:val="single" w:color="auto" w:sz="4" w:space="0"/>
              <w:right w:val="single" w:color="auto" w:sz="4" w:space="0"/>
            </w:tcBorders>
            <w:vAlign w:val="center"/>
          </w:tcPr>
          <w:p w14:paraId="0445600E">
            <w:pPr>
              <w:widowControl/>
              <w:spacing w:line="400" w:lineRule="exact"/>
              <w:jc w:val="left"/>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）《授权代表人身份证》</w:t>
            </w:r>
          </w:p>
        </w:tc>
        <w:tc>
          <w:tcPr>
            <w:tcW w:w="1442" w:type="dxa"/>
            <w:tcBorders>
              <w:top w:val="nil"/>
              <w:left w:val="nil"/>
              <w:bottom w:val="single" w:color="auto" w:sz="4" w:space="0"/>
              <w:right w:val="single" w:color="auto" w:sz="4" w:space="0"/>
            </w:tcBorders>
            <w:vAlign w:val="center"/>
          </w:tcPr>
          <w:p w14:paraId="710CB108">
            <w:pPr>
              <w:widowControl/>
              <w:spacing w:line="400" w:lineRule="exact"/>
              <w:jc w:val="center"/>
              <w:rPr>
                <w:rFonts w:ascii="宋体" w:hAnsi="宋体"/>
                <w:szCs w:val="21"/>
              </w:rPr>
            </w:pPr>
            <w:r>
              <w:rPr>
                <w:rFonts w:hint="eastAsia" w:ascii="宋体" w:hAnsi="宋体"/>
                <w:szCs w:val="21"/>
              </w:rPr>
              <w:t>现场备查</w:t>
            </w:r>
          </w:p>
        </w:tc>
        <w:tc>
          <w:tcPr>
            <w:tcW w:w="1256" w:type="dxa"/>
            <w:tcBorders>
              <w:top w:val="nil"/>
              <w:left w:val="nil"/>
              <w:bottom w:val="single" w:color="auto" w:sz="4" w:space="0"/>
              <w:right w:val="single" w:color="auto" w:sz="4" w:space="0"/>
            </w:tcBorders>
            <w:vAlign w:val="center"/>
          </w:tcPr>
          <w:p w14:paraId="0C7CC696">
            <w:pPr>
              <w:widowControl/>
              <w:spacing w:line="400" w:lineRule="exact"/>
              <w:jc w:val="center"/>
              <w:rPr>
                <w:rFonts w:ascii="宋体" w:hAnsi="宋体"/>
                <w:szCs w:val="21"/>
              </w:rPr>
            </w:pPr>
            <w:r>
              <w:rPr>
                <w:rFonts w:hint="eastAsia" w:ascii="宋体" w:hAnsi="宋体"/>
                <w:szCs w:val="21"/>
              </w:rPr>
              <w:t>按要求装订</w:t>
            </w:r>
          </w:p>
        </w:tc>
        <w:tc>
          <w:tcPr>
            <w:tcW w:w="2085" w:type="dxa"/>
            <w:vMerge w:val="continue"/>
            <w:tcBorders>
              <w:top w:val="single" w:color="auto" w:sz="4" w:space="0"/>
              <w:left w:val="single" w:color="auto" w:sz="4" w:space="0"/>
              <w:bottom w:val="single" w:color="auto" w:sz="4" w:space="0"/>
              <w:right w:val="single" w:color="auto" w:sz="4" w:space="0"/>
            </w:tcBorders>
            <w:vAlign w:val="center"/>
          </w:tcPr>
          <w:p w14:paraId="4B700D9D">
            <w:pPr>
              <w:widowControl/>
              <w:jc w:val="left"/>
              <w:rPr>
                <w:rFonts w:ascii="宋体" w:hAnsi="宋体"/>
                <w:szCs w:val="21"/>
              </w:rPr>
            </w:pPr>
          </w:p>
        </w:tc>
      </w:tr>
      <w:tr w14:paraId="20A4B0D9">
        <w:tblPrEx>
          <w:tblCellMar>
            <w:top w:w="0" w:type="dxa"/>
            <w:left w:w="108" w:type="dxa"/>
            <w:bottom w:w="0" w:type="dxa"/>
            <w:right w:w="108" w:type="dxa"/>
          </w:tblCellMar>
        </w:tblPrEx>
        <w:trPr>
          <w:trHeight w:val="1163" w:hRule="atLeast"/>
        </w:trPr>
        <w:tc>
          <w:tcPr>
            <w:tcW w:w="572" w:type="dxa"/>
            <w:tcBorders>
              <w:top w:val="nil"/>
              <w:left w:val="single" w:color="auto" w:sz="4" w:space="0"/>
              <w:bottom w:val="single" w:color="auto" w:sz="4" w:space="0"/>
              <w:right w:val="single" w:color="auto" w:sz="4" w:space="0"/>
            </w:tcBorders>
            <w:vAlign w:val="center"/>
          </w:tcPr>
          <w:p w14:paraId="388773FA">
            <w:pPr>
              <w:widowControl/>
              <w:spacing w:line="400" w:lineRule="exact"/>
              <w:jc w:val="center"/>
              <w:rPr>
                <w:rFonts w:ascii="宋体" w:hAnsi="宋体"/>
                <w:szCs w:val="21"/>
              </w:rPr>
            </w:pPr>
            <w:r>
              <w:rPr>
                <w:rFonts w:hint="eastAsia" w:ascii="宋体" w:hAnsi="宋体"/>
                <w:szCs w:val="21"/>
              </w:rPr>
              <w:t>3</w:t>
            </w:r>
          </w:p>
        </w:tc>
        <w:tc>
          <w:tcPr>
            <w:tcW w:w="3162" w:type="dxa"/>
            <w:tcBorders>
              <w:top w:val="nil"/>
              <w:left w:val="nil"/>
              <w:bottom w:val="single" w:color="auto" w:sz="4" w:space="0"/>
              <w:right w:val="single" w:color="auto" w:sz="4" w:space="0"/>
            </w:tcBorders>
            <w:vAlign w:val="center"/>
          </w:tcPr>
          <w:p w14:paraId="095C52B9">
            <w:pPr>
              <w:widowControl/>
              <w:spacing w:line="400" w:lineRule="exact"/>
              <w:jc w:val="left"/>
              <w:rPr>
                <w:rFonts w:ascii="宋体" w:hAnsi="宋体"/>
                <w:szCs w:val="21"/>
              </w:rPr>
            </w:pPr>
            <w:r>
              <w:rPr>
                <w:rFonts w:hint="eastAsia" w:ascii="宋体" w:hAnsi="宋体"/>
                <w:szCs w:val="21"/>
              </w:rPr>
              <w:t>投标人参加政府采购活动前</w:t>
            </w:r>
            <w:r>
              <w:rPr>
                <w:rFonts w:ascii="宋体" w:hAnsi="宋体"/>
                <w:szCs w:val="21"/>
              </w:rPr>
              <w:t>3</w:t>
            </w:r>
            <w:r>
              <w:rPr>
                <w:rFonts w:hint="eastAsia" w:ascii="宋体" w:hAnsi="宋体"/>
                <w:szCs w:val="21"/>
              </w:rPr>
              <w:t>年内在经营活动中没有重大违法记录的书面声明（格式）</w:t>
            </w:r>
          </w:p>
        </w:tc>
        <w:tc>
          <w:tcPr>
            <w:tcW w:w="1442" w:type="dxa"/>
            <w:tcBorders>
              <w:top w:val="nil"/>
              <w:left w:val="nil"/>
              <w:bottom w:val="single" w:color="auto" w:sz="4" w:space="0"/>
              <w:right w:val="single" w:color="auto" w:sz="4" w:space="0"/>
            </w:tcBorders>
            <w:vAlign w:val="center"/>
          </w:tcPr>
          <w:p w14:paraId="6B99A108">
            <w:pPr>
              <w:widowControl/>
              <w:spacing w:line="400" w:lineRule="exact"/>
              <w:jc w:val="center"/>
              <w:rPr>
                <w:rFonts w:ascii="宋体" w:hAnsi="宋体"/>
                <w:szCs w:val="21"/>
              </w:rPr>
            </w:pPr>
            <w:r>
              <w:rPr>
                <w:rFonts w:hint="eastAsia" w:ascii="宋体" w:hAnsi="宋体"/>
                <w:szCs w:val="21"/>
              </w:rPr>
              <w:t>按要求</w:t>
            </w:r>
          </w:p>
          <w:p w14:paraId="3650F776">
            <w:pPr>
              <w:widowControl/>
              <w:spacing w:line="400" w:lineRule="exact"/>
              <w:jc w:val="center"/>
              <w:rPr>
                <w:rFonts w:ascii="宋体" w:hAnsi="宋体"/>
                <w:szCs w:val="21"/>
              </w:rPr>
            </w:pPr>
            <w:r>
              <w:rPr>
                <w:rFonts w:hint="eastAsia" w:ascii="宋体" w:hAnsi="宋体"/>
                <w:szCs w:val="21"/>
              </w:rPr>
              <w:t>装订</w:t>
            </w:r>
          </w:p>
        </w:tc>
        <w:tc>
          <w:tcPr>
            <w:tcW w:w="1256" w:type="dxa"/>
            <w:tcBorders>
              <w:top w:val="nil"/>
              <w:left w:val="nil"/>
              <w:bottom w:val="single" w:color="auto" w:sz="4" w:space="0"/>
              <w:right w:val="single" w:color="auto" w:sz="4" w:space="0"/>
            </w:tcBorders>
            <w:vAlign w:val="center"/>
          </w:tcPr>
          <w:p w14:paraId="055406C4">
            <w:pPr>
              <w:widowControl/>
              <w:spacing w:line="400" w:lineRule="exact"/>
              <w:jc w:val="center"/>
              <w:rPr>
                <w:rFonts w:ascii="宋体" w:hAnsi="宋体"/>
                <w:szCs w:val="21"/>
              </w:rPr>
            </w:pPr>
            <w:r>
              <w:rPr>
                <w:rFonts w:ascii="宋体" w:hAnsi="宋体"/>
                <w:szCs w:val="21"/>
              </w:rPr>
              <w:t>--</w:t>
            </w:r>
          </w:p>
        </w:tc>
        <w:tc>
          <w:tcPr>
            <w:tcW w:w="2085" w:type="dxa"/>
            <w:tcBorders>
              <w:top w:val="nil"/>
              <w:left w:val="nil"/>
              <w:bottom w:val="single" w:color="auto" w:sz="4" w:space="0"/>
              <w:right w:val="single" w:color="auto" w:sz="4" w:space="0"/>
            </w:tcBorders>
            <w:vAlign w:val="center"/>
          </w:tcPr>
          <w:p w14:paraId="3CADAD94">
            <w:pPr>
              <w:widowControl/>
              <w:spacing w:line="400" w:lineRule="exact"/>
              <w:jc w:val="center"/>
              <w:rPr>
                <w:rFonts w:ascii="宋体" w:hAnsi="宋体"/>
                <w:szCs w:val="21"/>
              </w:rPr>
            </w:pPr>
          </w:p>
        </w:tc>
      </w:tr>
      <w:tr w14:paraId="416B3BDB">
        <w:tblPrEx>
          <w:tblCellMar>
            <w:top w:w="0" w:type="dxa"/>
            <w:left w:w="108" w:type="dxa"/>
            <w:bottom w:w="0" w:type="dxa"/>
            <w:right w:w="108" w:type="dxa"/>
          </w:tblCellMar>
        </w:tblPrEx>
        <w:trPr>
          <w:trHeight w:val="779" w:hRule="atLeast"/>
        </w:trPr>
        <w:tc>
          <w:tcPr>
            <w:tcW w:w="572" w:type="dxa"/>
            <w:tcBorders>
              <w:top w:val="single" w:color="auto" w:sz="4" w:space="0"/>
              <w:left w:val="single" w:color="auto" w:sz="4" w:space="0"/>
              <w:bottom w:val="single" w:color="auto" w:sz="4" w:space="0"/>
              <w:right w:val="single" w:color="auto" w:sz="4" w:space="0"/>
            </w:tcBorders>
            <w:vAlign w:val="center"/>
          </w:tcPr>
          <w:p w14:paraId="76A5E364">
            <w:pPr>
              <w:widowControl/>
              <w:spacing w:line="400" w:lineRule="exact"/>
              <w:jc w:val="center"/>
              <w:rPr>
                <w:rFonts w:ascii="宋体" w:hAnsi="宋体"/>
                <w:szCs w:val="21"/>
              </w:rPr>
            </w:pPr>
            <w:r>
              <w:rPr>
                <w:rFonts w:hint="eastAsia" w:ascii="宋体" w:hAnsi="宋体"/>
                <w:szCs w:val="21"/>
              </w:rPr>
              <w:t>4</w:t>
            </w:r>
          </w:p>
        </w:tc>
        <w:tc>
          <w:tcPr>
            <w:tcW w:w="3162" w:type="dxa"/>
            <w:tcBorders>
              <w:top w:val="single" w:color="auto" w:sz="4" w:space="0"/>
              <w:left w:val="nil"/>
              <w:bottom w:val="single" w:color="auto" w:sz="4" w:space="0"/>
              <w:right w:val="single" w:color="auto" w:sz="4" w:space="0"/>
            </w:tcBorders>
            <w:vAlign w:val="center"/>
          </w:tcPr>
          <w:p w14:paraId="73BDE58B">
            <w:pPr>
              <w:widowControl/>
              <w:spacing w:line="400" w:lineRule="exact"/>
              <w:jc w:val="left"/>
              <w:rPr>
                <w:rFonts w:ascii="宋体" w:hAnsi="宋体"/>
                <w:szCs w:val="21"/>
              </w:rPr>
            </w:pPr>
            <w:r>
              <w:rPr>
                <w:rFonts w:hint="eastAsia" w:ascii="宋体" w:hAnsi="宋体"/>
                <w:szCs w:val="21"/>
              </w:rPr>
              <w:t>具备履行合同所必需的设备和专业技术能力的书面声明</w:t>
            </w:r>
          </w:p>
        </w:tc>
        <w:tc>
          <w:tcPr>
            <w:tcW w:w="1442" w:type="dxa"/>
            <w:tcBorders>
              <w:top w:val="single" w:color="auto" w:sz="4" w:space="0"/>
              <w:left w:val="nil"/>
              <w:bottom w:val="single" w:color="auto" w:sz="4" w:space="0"/>
              <w:right w:val="single" w:color="auto" w:sz="4" w:space="0"/>
            </w:tcBorders>
            <w:vAlign w:val="center"/>
          </w:tcPr>
          <w:p w14:paraId="70C155A8">
            <w:pPr>
              <w:widowControl/>
              <w:spacing w:line="400" w:lineRule="exact"/>
              <w:jc w:val="center"/>
              <w:rPr>
                <w:rFonts w:ascii="宋体" w:hAnsi="宋体"/>
                <w:szCs w:val="21"/>
              </w:rPr>
            </w:pPr>
            <w:r>
              <w:rPr>
                <w:rFonts w:hint="eastAsia" w:ascii="宋体" w:hAnsi="宋体"/>
                <w:szCs w:val="21"/>
              </w:rPr>
              <w:t>按要求</w:t>
            </w:r>
          </w:p>
          <w:p w14:paraId="3775C42D">
            <w:pPr>
              <w:widowControl/>
              <w:spacing w:line="400" w:lineRule="exact"/>
              <w:jc w:val="center"/>
              <w:rPr>
                <w:rFonts w:ascii="宋体" w:hAnsi="宋体"/>
                <w:szCs w:val="21"/>
              </w:rPr>
            </w:pPr>
            <w:r>
              <w:rPr>
                <w:rFonts w:hint="eastAsia" w:ascii="宋体" w:hAnsi="宋体"/>
                <w:szCs w:val="21"/>
              </w:rPr>
              <w:t>装订</w:t>
            </w:r>
          </w:p>
        </w:tc>
        <w:tc>
          <w:tcPr>
            <w:tcW w:w="1256" w:type="dxa"/>
            <w:tcBorders>
              <w:top w:val="single" w:color="auto" w:sz="4" w:space="0"/>
              <w:left w:val="nil"/>
              <w:bottom w:val="single" w:color="auto" w:sz="4" w:space="0"/>
              <w:right w:val="single" w:color="auto" w:sz="4" w:space="0"/>
            </w:tcBorders>
            <w:vAlign w:val="center"/>
          </w:tcPr>
          <w:p w14:paraId="48FFEAF1">
            <w:pPr>
              <w:widowControl/>
              <w:spacing w:line="400" w:lineRule="exact"/>
              <w:jc w:val="center"/>
              <w:rPr>
                <w:rFonts w:ascii="宋体" w:hAnsi="宋体"/>
                <w:szCs w:val="21"/>
              </w:rPr>
            </w:pPr>
            <w:r>
              <w:rPr>
                <w:rFonts w:ascii="宋体" w:hAnsi="宋体"/>
                <w:szCs w:val="21"/>
              </w:rPr>
              <w:t>--</w:t>
            </w:r>
          </w:p>
        </w:tc>
        <w:tc>
          <w:tcPr>
            <w:tcW w:w="2085" w:type="dxa"/>
            <w:tcBorders>
              <w:top w:val="single" w:color="auto" w:sz="4" w:space="0"/>
              <w:left w:val="nil"/>
              <w:bottom w:val="single" w:color="auto" w:sz="4" w:space="0"/>
              <w:right w:val="single" w:color="auto" w:sz="4" w:space="0"/>
            </w:tcBorders>
            <w:vAlign w:val="center"/>
          </w:tcPr>
          <w:p w14:paraId="3F98E682">
            <w:pPr>
              <w:widowControl/>
              <w:spacing w:line="400" w:lineRule="exact"/>
              <w:jc w:val="left"/>
              <w:rPr>
                <w:rFonts w:ascii="宋体" w:hAnsi="宋体"/>
                <w:szCs w:val="21"/>
              </w:rPr>
            </w:pPr>
          </w:p>
        </w:tc>
      </w:tr>
      <w:tr w14:paraId="7B87A46B">
        <w:tblPrEx>
          <w:tblCellMar>
            <w:top w:w="0" w:type="dxa"/>
            <w:left w:w="108" w:type="dxa"/>
            <w:bottom w:w="0" w:type="dxa"/>
            <w:right w:w="108" w:type="dxa"/>
          </w:tblCellMar>
        </w:tblPrEx>
        <w:trPr>
          <w:trHeight w:val="779" w:hRule="atLeast"/>
        </w:trPr>
        <w:tc>
          <w:tcPr>
            <w:tcW w:w="572" w:type="dxa"/>
            <w:tcBorders>
              <w:top w:val="single" w:color="auto" w:sz="4" w:space="0"/>
              <w:left w:val="single" w:color="auto" w:sz="4" w:space="0"/>
              <w:bottom w:val="single" w:color="auto" w:sz="4" w:space="0"/>
              <w:right w:val="single" w:color="auto" w:sz="4" w:space="0"/>
            </w:tcBorders>
            <w:vAlign w:val="center"/>
          </w:tcPr>
          <w:p w14:paraId="41502059">
            <w:pPr>
              <w:widowControl/>
              <w:spacing w:line="400" w:lineRule="exact"/>
              <w:jc w:val="center"/>
              <w:rPr>
                <w:rFonts w:ascii="宋体" w:hAnsi="宋体"/>
                <w:szCs w:val="21"/>
              </w:rPr>
            </w:pPr>
            <w:r>
              <w:rPr>
                <w:rFonts w:hint="eastAsia" w:ascii="宋体" w:hAnsi="宋体"/>
                <w:szCs w:val="21"/>
              </w:rPr>
              <w:t>5</w:t>
            </w:r>
          </w:p>
        </w:tc>
        <w:tc>
          <w:tcPr>
            <w:tcW w:w="3162" w:type="dxa"/>
            <w:tcBorders>
              <w:top w:val="single" w:color="auto" w:sz="4" w:space="0"/>
              <w:left w:val="nil"/>
              <w:bottom w:val="single" w:color="auto" w:sz="4" w:space="0"/>
              <w:right w:val="single" w:color="auto" w:sz="4" w:space="0"/>
            </w:tcBorders>
            <w:vAlign w:val="center"/>
          </w:tcPr>
          <w:p w14:paraId="5067AA6F">
            <w:pPr>
              <w:widowControl/>
              <w:spacing w:line="400" w:lineRule="exact"/>
              <w:jc w:val="left"/>
              <w:rPr>
                <w:rFonts w:ascii="宋体" w:hAnsi="宋体"/>
                <w:szCs w:val="21"/>
              </w:rPr>
            </w:pPr>
            <w:r>
              <w:rPr>
                <w:rFonts w:hint="eastAsia" w:ascii="宋体" w:hAnsi="宋体" w:cs="宋体"/>
                <w:szCs w:val="21"/>
              </w:rPr>
              <w:t>财务状况报告，提供供应商的本项目开标时间前6个月内任意一个月份（不含“首次响应文件提交的截止时间”当月）的资产负债表、利润表各一份或提供供应商上年度财务报告或供应商的本项目开标时间前6个月内银行出具的资信证明复印件</w:t>
            </w:r>
          </w:p>
        </w:tc>
        <w:tc>
          <w:tcPr>
            <w:tcW w:w="1442" w:type="dxa"/>
            <w:tcBorders>
              <w:top w:val="single" w:color="auto" w:sz="4" w:space="0"/>
              <w:left w:val="nil"/>
              <w:bottom w:val="single" w:color="auto" w:sz="4" w:space="0"/>
              <w:right w:val="single" w:color="auto" w:sz="4" w:space="0"/>
            </w:tcBorders>
            <w:vAlign w:val="center"/>
          </w:tcPr>
          <w:p w14:paraId="558F9E64">
            <w:pPr>
              <w:widowControl/>
              <w:spacing w:line="400" w:lineRule="exact"/>
              <w:jc w:val="center"/>
              <w:rPr>
                <w:rFonts w:ascii="宋体" w:hAnsi="宋体"/>
                <w:szCs w:val="21"/>
              </w:rPr>
            </w:pPr>
            <w:r>
              <w:rPr>
                <w:rFonts w:ascii="宋体" w:hAnsi="宋体"/>
                <w:szCs w:val="21"/>
              </w:rPr>
              <w:t>--</w:t>
            </w:r>
          </w:p>
        </w:tc>
        <w:tc>
          <w:tcPr>
            <w:tcW w:w="1256" w:type="dxa"/>
            <w:tcBorders>
              <w:top w:val="single" w:color="auto" w:sz="4" w:space="0"/>
              <w:left w:val="nil"/>
              <w:bottom w:val="single" w:color="auto" w:sz="4" w:space="0"/>
              <w:right w:val="single" w:color="auto" w:sz="4" w:space="0"/>
            </w:tcBorders>
            <w:vAlign w:val="center"/>
          </w:tcPr>
          <w:p w14:paraId="1D32BB2E">
            <w:pPr>
              <w:widowControl/>
              <w:spacing w:line="400" w:lineRule="exact"/>
              <w:jc w:val="center"/>
              <w:rPr>
                <w:rFonts w:ascii="宋体" w:hAnsi="宋体"/>
                <w:szCs w:val="21"/>
              </w:rPr>
            </w:pPr>
            <w:r>
              <w:rPr>
                <w:rFonts w:hint="eastAsia" w:ascii="宋体" w:hAnsi="宋体" w:cs="宋体"/>
                <w:szCs w:val="21"/>
              </w:rPr>
              <w:t>按要求装订</w:t>
            </w:r>
          </w:p>
        </w:tc>
        <w:tc>
          <w:tcPr>
            <w:tcW w:w="2085" w:type="dxa"/>
            <w:tcBorders>
              <w:top w:val="single" w:color="auto" w:sz="4" w:space="0"/>
              <w:left w:val="nil"/>
              <w:bottom w:val="single" w:color="auto" w:sz="4" w:space="0"/>
              <w:right w:val="single" w:color="auto" w:sz="4" w:space="0"/>
            </w:tcBorders>
            <w:vAlign w:val="center"/>
          </w:tcPr>
          <w:p w14:paraId="161B7615">
            <w:pPr>
              <w:widowControl/>
              <w:spacing w:line="400" w:lineRule="exact"/>
              <w:jc w:val="left"/>
              <w:rPr>
                <w:rFonts w:ascii="宋体" w:hAnsi="宋体"/>
                <w:szCs w:val="21"/>
              </w:rPr>
            </w:pPr>
          </w:p>
        </w:tc>
      </w:tr>
      <w:tr w14:paraId="410B05C8">
        <w:tblPrEx>
          <w:tblCellMar>
            <w:top w:w="0" w:type="dxa"/>
            <w:left w:w="108" w:type="dxa"/>
            <w:bottom w:w="0" w:type="dxa"/>
            <w:right w:w="108" w:type="dxa"/>
          </w:tblCellMar>
        </w:tblPrEx>
        <w:trPr>
          <w:trHeight w:val="779" w:hRule="atLeast"/>
        </w:trPr>
        <w:tc>
          <w:tcPr>
            <w:tcW w:w="572" w:type="dxa"/>
            <w:tcBorders>
              <w:top w:val="single" w:color="auto" w:sz="4" w:space="0"/>
              <w:left w:val="single" w:color="auto" w:sz="4" w:space="0"/>
              <w:bottom w:val="single" w:color="auto" w:sz="4" w:space="0"/>
              <w:right w:val="single" w:color="auto" w:sz="4" w:space="0"/>
            </w:tcBorders>
            <w:vAlign w:val="center"/>
          </w:tcPr>
          <w:p w14:paraId="1377F385">
            <w:pPr>
              <w:widowControl/>
              <w:spacing w:line="400" w:lineRule="exact"/>
              <w:jc w:val="center"/>
              <w:rPr>
                <w:rFonts w:ascii="宋体" w:hAnsi="宋体"/>
                <w:szCs w:val="21"/>
              </w:rPr>
            </w:pPr>
            <w:r>
              <w:rPr>
                <w:rFonts w:hint="eastAsia" w:ascii="宋体" w:hAnsi="宋体"/>
                <w:szCs w:val="21"/>
              </w:rPr>
              <w:t>6</w:t>
            </w:r>
          </w:p>
        </w:tc>
        <w:tc>
          <w:tcPr>
            <w:tcW w:w="3162" w:type="dxa"/>
            <w:tcBorders>
              <w:top w:val="single" w:color="auto" w:sz="4" w:space="0"/>
              <w:left w:val="nil"/>
              <w:bottom w:val="single" w:color="auto" w:sz="4" w:space="0"/>
              <w:right w:val="single" w:color="auto" w:sz="4" w:space="0"/>
            </w:tcBorders>
            <w:vAlign w:val="center"/>
          </w:tcPr>
          <w:p w14:paraId="1D91F7C1">
            <w:pPr>
              <w:widowControl/>
              <w:jc w:val="left"/>
              <w:rPr>
                <w:rFonts w:ascii="宋体" w:hAnsi="宋体" w:cs="宋体"/>
                <w:szCs w:val="21"/>
              </w:rPr>
            </w:pPr>
            <w:r>
              <w:rPr>
                <w:rFonts w:hint="eastAsia" w:ascii="宋体" w:hAnsi="宋体" w:cs="宋体"/>
                <w:szCs w:val="21"/>
              </w:rPr>
              <w:t>供应商在本项目开标时间前6个月内任意一个月份依法缴纳税收和社会保障资金的相关材料复印件；或依法免税或不需要缴纳社会保障资金的供应商应提供相应其依法免税或不需要缴纳社会保障资金的证明文件复印件。</w:t>
            </w:r>
          </w:p>
        </w:tc>
        <w:tc>
          <w:tcPr>
            <w:tcW w:w="1442" w:type="dxa"/>
            <w:tcBorders>
              <w:top w:val="single" w:color="auto" w:sz="4" w:space="0"/>
              <w:left w:val="nil"/>
              <w:bottom w:val="single" w:color="auto" w:sz="4" w:space="0"/>
              <w:right w:val="single" w:color="auto" w:sz="4" w:space="0"/>
            </w:tcBorders>
            <w:vAlign w:val="center"/>
          </w:tcPr>
          <w:p w14:paraId="75B1996C">
            <w:pPr>
              <w:widowControl/>
              <w:spacing w:line="400" w:lineRule="exact"/>
              <w:jc w:val="center"/>
              <w:rPr>
                <w:rFonts w:ascii="宋体" w:hAnsi="宋体"/>
                <w:szCs w:val="21"/>
              </w:rPr>
            </w:pPr>
            <w:r>
              <w:rPr>
                <w:rFonts w:ascii="宋体" w:hAnsi="宋体"/>
                <w:szCs w:val="21"/>
              </w:rPr>
              <w:t>--</w:t>
            </w:r>
          </w:p>
        </w:tc>
        <w:tc>
          <w:tcPr>
            <w:tcW w:w="1256" w:type="dxa"/>
            <w:tcBorders>
              <w:top w:val="single" w:color="auto" w:sz="4" w:space="0"/>
              <w:left w:val="nil"/>
              <w:bottom w:val="single" w:color="auto" w:sz="4" w:space="0"/>
              <w:right w:val="single" w:color="auto" w:sz="4" w:space="0"/>
            </w:tcBorders>
            <w:vAlign w:val="center"/>
          </w:tcPr>
          <w:p w14:paraId="67CF0C11">
            <w:pPr>
              <w:widowControl/>
              <w:spacing w:line="400" w:lineRule="exact"/>
              <w:jc w:val="center"/>
              <w:rPr>
                <w:rFonts w:ascii="宋体" w:hAnsi="宋体"/>
                <w:szCs w:val="21"/>
              </w:rPr>
            </w:pPr>
            <w:r>
              <w:rPr>
                <w:rFonts w:hint="eastAsia" w:ascii="宋体" w:hAnsi="宋体" w:cs="宋体"/>
                <w:szCs w:val="21"/>
              </w:rPr>
              <w:t>按要求装订</w:t>
            </w:r>
          </w:p>
        </w:tc>
        <w:tc>
          <w:tcPr>
            <w:tcW w:w="2085" w:type="dxa"/>
            <w:tcBorders>
              <w:top w:val="single" w:color="auto" w:sz="4" w:space="0"/>
              <w:left w:val="nil"/>
              <w:bottom w:val="single" w:color="auto" w:sz="4" w:space="0"/>
              <w:right w:val="single" w:color="auto" w:sz="4" w:space="0"/>
            </w:tcBorders>
            <w:vAlign w:val="center"/>
          </w:tcPr>
          <w:p w14:paraId="326695A5">
            <w:pPr>
              <w:widowControl/>
              <w:spacing w:line="400" w:lineRule="exact"/>
              <w:jc w:val="left"/>
              <w:rPr>
                <w:rFonts w:ascii="宋体" w:hAnsi="宋体"/>
                <w:szCs w:val="21"/>
              </w:rPr>
            </w:pPr>
          </w:p>
        </w:tc>
      </w:tr>
      <w:tr w14:paraId="7725E38D">
        <w:tblPrEx>
          <w:tblCellMar>
            <w:top w:w="0" w:type="dxa"/>
            <w:left w:w="108" w:type="dxa"/>
            <w:bottom w:w="0" w:type="dxa"/>
            <w:right w:w="108" w:type="dxa"/>
          </w:tblCellMar>
        </w:tblPrEx>
        <w:trPr>
          <w:trHeight w:val="1173" w:hRule="atLeast"/>
        </w:trPr>
        <w:tc>
          <w:tcPr>
            <w:tcW w:w="572" w:type="dxa"/>
            <w:tcBorders>
              <w:top w:val="single" w:color="auto" w:sz="4" w:space="0"/>
              <w:left w:val="single" w:color="auto" w:sz="4" w:space="0"/>
              <w:bottom w:val="single" w:color="auto" w:sz="4" w:space="0"/>
              <w:right w:val="single" w:color="auto" w:sz="4" w:space="0"/>
            </w:tcBorders>
            <w:vAlign w:val="center"/>
          </w:tcPr>
          <w:p w14:paraId="33F2C980">
            <w:pPr>
              <w:widowControl/>
              <w:spacing w:line="400" w:lineRule="exact"/>
              <w:jc w:val="center"/>
              <w:rPr>
                <w:rFonts w:ascii="宋体" w:hAnsi="宋体"/>
                <w:szCs w:val="21"/>
              </w:rPr>
            </w:pPr>
            <w:r>
              <w:rPr>
                <w:rFonts w:ascii="宋体" w:hAnsi="宋体"/>
                <w:szCs w:val="21"/>
              </w:rPr>
              <w:t>7</w:t>
            </w:r>
          </w:p>
        </w:tc>
        <w:tc>
          <w:tcPr>
            <w:tcW w:w="3162" w:type="dxa"/>
            <w:tcBorders>
              <w:top w:val="single" w:color="auto" w:sz="4" w:space="0"/>
              <w:left w:val="nil"/>
              <w:bottom w:val="single" w:color="auto" w:sz="4" w:space="0"/>
              <w:right w:val="single" w:color="auto" w:sz="4" w:space="0"/>
            </w:tcBorders>
            <w:vAlign w:val="center"/>
          </w:tcPr>
          <w:p w14:paraId="5075B156">
            <w:pPr>
              <w:widowControl/>
              <w:spacing w:line="400" w:lineRule="exact"/>
              <w:jc w:val="left"/>
              <w:rPr>
                <w:rFonts w:ascii="宋体" w:hAnsi="宋体"/>
                <w:szCs w:val="21"/>
              </w:rPr>
            </w:pPr>
            <w:r>
              <w:rPr>
                <w:rFonts w:hint="eastAsia" w:ascii="宋体" w:hAnsi="宋体"/>
                <w:szCs w:val="21"/>
              </w:rPr>
              <w:t>供应商为中小企业（含中型、小型、微型企业），提供《中小企业声明函》</w:t>
            </w:r>
          </w:p>
        </w:tc>
        <w:tc>
          <w:tcPr>
            <w:tcW w:w="1442" w:type="dxa"/>
            <w:tcBorders>
              <w:top w:val="single" w:color="auto" w:sz="4" w:space="0"/>
              <w:left w:val="nil"/>
              <w:bottom w:val="single" w:color="auto" w:sz="4" w:space="0"/>
              <w:right w:val="single" w:color="auto" w:sz="4" w:space="0"/>
            </w:tcBorders>
            <w:vAlign w:val="center"/>
          </w:tcPr>
          <w:p w14:paraId="6F2B8B62">
            <w:pPr>
              <w:widowControl/>
              <w:spacing w:line="400" w:lineRule="exact"/>
              <w:jc w:val="center"/>
              <w:rPr>
                <w:rFonts w:ascii="宋体" w:hAnsi="宋体"/>
                <w:szCs w:val="21"/>
              </w:rPr>
            </w:pPr>
            <w:r>
              <w:rPr>
                <w:rFonts w:hint="eastAsia" w:ascii="宋体" w:hAnsi="宋体"/>
                <w:szCs w:val="21"/>
              </w:rPr>
              <w:t>按要求</w:t>
            </w:r>
          </w:p>
          <w:p w14:paraId="0FE1CAB9">
            <w:pPr>
              <w:widowControl/>
              <w:spacing w:line="400" w:lineRule="exact"/>
              <w:jc w:val="center"/>
              <w:rPr>
                <w:rFonts w:ascii="宋体" w:hAnsi="宋体"/>
                <w:szCs w:val="21"/>
              </w:rPr>
            </w:pPr>
            <w:r>
              <w:rPr>
                <w:rFonts w:hint="eastAsia" w:ascii="宋体" w:hAnsi="宋体"/>
                <w:szCs w:val="21"/>
              </w:rPr>
              <w:t>装订</w:t>
            </w:r>
          </w:p>
        </w:tc>
        <w:tc>
          <w:tcPr>
            <w:tcW w:w="1256" w:type="dxa"/>
            <w:tcBorders>
              <w:top w:val="single" w:color="auto" w:sz="4" w:space="0"/>
              <w:left w:val="nil"/>
              <w:bottom w:val="single" w:color="auto" w:sz="4" w:space="0"/>
              <w:right w:val="single" w:color="auto" w:sz="4" w:space="0"/>
            </w:tcBorders>
            <w:vAlign w:val="center"/>
          </w:tcPr>
          <w:p w14:paraId="1ED6234E">
            <w:pPr>
              <w:widowControl/>
              <w:spacing w:line="400" w:lineRule="exact"/>
              <w:jc w:val="center"/>
              <w:rPr>
                <w:rFonts w:ascii="宋体" w:hAnsi="宋体"/>
                <w:szCs w:val="21"/>
              </w:rPr>
            </w:pPr>
            <w:r>
              <w:rPr>
                <w:rFonts w:ascii="宋体" w:hAnsi="宋体"/>
                <w:szCs w:val="21"/>
              </w:rPr>
              <w:t>--</w:t>
            </w:r>
          </w:p>
        </w:tc>
        <w:tc>
          <w:tcPr>
            <w:tcW w:w="2085" w:type="dxa"/>
            <w:tcBorders>
              <w:top w:val="single" w:color="auto" w:sz="4" w:space="0"/>
              <w:left w:val="nil"/>
              <w:bottom w:val="single" w:color="auto" w:sz="4" w:space="0"/>
              <w:right w:val="single" w:color="auto" w:sz="4" w:space="0"/>
            </w:tcBorders>
            <w:vAlign w:val="center"/>
          </w:tcPr>
          <w:p w14:paraId="6A84007E">
            <w:pPr>
              <w:widowControl/>
              <w:spacing w:line="400" w:lineRule="exact"/>
              <w:jc w:val="left"/>
              <w:rPr>
                <w:rFonts w:ascii="宋体" w:hAnsi="宋体"/>
                <w:szCs w:val="21"/>
              </w:rPr>
            </w:pPr>
          </w:p>
        </w:tc>
      </w:tr>
      <w:tr w14:paraId="5B7E4FCB">
        <w:tblPrEx>
          <w:tblCellMar>
            <w:top w:w="0" w:type="dxa"/>
            <w:left w:w="108" w:type="dxa"/>
            <w:bottom w:w="0" w:type="dxa"/>
            <w:right w:w="108" w:type="dxa"/>
          </w:tblCellMar>
        </w:tblPrEx>
        <w:trPr>
          <w:trHeight w:val="1173" w:hRule="atLeast"/>
        </w:trPr>
        <w:tc>
          <w:tcPr>
            <w:tcW w:w="572" w:type="dxa"/>
            <w:tcBorders>
              <w:top w:val="single" w:color="auto" w:sz="4" w:space="0"/>
              <w:left w:val="single" w:color="auto" w:sz="4" w:space="0"/>
              <w:bottom w:val="single" w:color="auto" w:sz="4" w:space="0"/>
              <w:right w:val="single" w:color="auto" w:sz="4" w:space="0"/>
            </w:tcBorders>
            <w:vAlign w:val="center"/>
          </w:tcPr>
          <w:p w14:paraId="6101CA7E">
            <w:pPr>
              <w:widowControl/>
              <w:spacing w:line="400" w:lineRule="exact"/>
              <w:jc w:val="center"/>
              <w:rPr>
                <w:rFonts w:ascii="宋体" w:hAnsi="宋体"/>
                <w:szCs w:val="21"/>
              </w:rPr>
            </w:pPr>
            <w:r>
              <w:rPr>
                <w:rFonts w:hint="eastAsia" w:ascii="宋体" w:hAnsi="宋体"/>
                <w:szCs w:val="21"/>
              </w:rPr>
              <w:t>8</w:t>
            </w:r>
          </w:p>
        </w:tc>
        <w:tc>
          <w:tcPr>
            <w:tcW w:w="3162" w:type="dxa"/>
            <w:tcBorders>
              <w:top w:val="single" w:color="auto" w:sz="4" w:space="0"/>
              <w:left w:val="nil"/>
              <w:bottom w:val="single" w:color="auto" w:sz="4" w:space="0"/>
              <w:right w:val="single" w:color="auto" w:sz="4" w:space="0"/>
            </w:tcBorders>
            <w:vAlign w:val="center"/>
          </w:tcPr>
          <w:p w14:paraId="369A05C4">
            <w:pPr>
              <w:widowControl/>
              <w:spacing w:line="400" w:lineRule="exact"/>
              <w:jc w:val="left"/>
              <w:rPr>
                <w:rFonts w:ascii="宋体" w:hAnsi="宋体"/>
                <w:szCs w:val="21"/>
              </w:rPr>
            </w:pPr>
            <w:r>
              <w:rPr>
                <w:rFonts w:hint="eastAsia" w:ascii="宋体" w:hAnsi="宋体" w:cs="宋体"/>
                <w:szCs w:val="21"/>
              </w:rPr>
              <w:t>供应商未被列入“信用中国”网站（www.creditchina.gov.cn）失信被执行人、重大税收违法案件当事人名单、政府采购严重违法失信行为记录名单的</w:t>
            </w:r>
          </w:p>
        </w:tc>
        <w:tc>
          <w:tcPr>
            <w:tcW w:w="1442" w:type="dxa"/>
            <w:tcBorders>
              <w:top w:val="single" w:color="auto" w:sz="4" w:space="0"/>
              <w:left w:val="nil"/>
              <w:bottom w:val="single" w:color="auto" w:sz="4" w:space="0"/>
              <w:right w:val="single" w:color="auto" w:sz="4" w:space="0"/>
            </w:tcBorders>
            <w:vAlign w:val="center"/>
          </w:tcPr>
          <w:p w14:paraId="29DD6FDC">
            <w:pPr>
              <w:widowControl/>
              <w:spacing w:line="400" w:lineRule="exact"/>
              <w:jc w:val="center"/>
              <w:rPr>
                <w:rFonts w:ascii="宋体" w:hAnsi="宋体"/>
                <w:szCs w:val="21"/>
              </w:rPr>
            </w:pPr>
            <w:r>
              <w:rPr>
                <w:rFonts w:ascii="宋体" w:hAnsi="宋体"/>
                <w:szCs w:val="21"/>
              </w:rPr>
              <w:t>--</w:t>
            </w:r>
          </w:p>
        </w:tc>
        <w:tc>
          <w:tcPr>
            <w:tcW w:w="1256" w:type="dxa"/>
            <w:tcBorders>
              <w:top w:val="single" w:color="auto" w:sz="4" w:space="0"/>
              <w:left w:val="nil"/>
              <w:bottom w:val="single" w:color="auto" w:sz="4" w:space="0"/>
              <w:right w:val="single" w:color="auto" w:sz="4" w:space="0"/>
            </w:tcBorders>
            <w:vAlign w:val="center"/>
          </w:tcPr>
          <w:p w14:paraId="00B542BA">
            <w:pPr>
              <w:widowControl/>
              <w:spacing w:line="400" w:lineRule="exact"/>
              <w:jc w:val="center"/>
              <w:rPr>
                <w:rFonts w:ascii="宋体" w:hAnsi="宋体"/>
                <w:szCs w:val="21"/>
              </w:rPr>
            </w:pPr>
            <w:r>
              <w:rPr>
                <w:rFonts w:hint="eastAsia" w:ascii="宋体" w:hAnsi="宋体"/>
                <w:szCs w:val="21"/>
              </w:rPr>
              <w:t>按要求</w:t>
            </w:r>
          </w:p>
          <w:p w14:paraId="287BC4D5">
            <w:pPr>
              <w:widowControl/>
              <w:spacing w:line="400" w:lineRule="exact"/>
              <w:jc w:val="center"/>
              <w:rPr>
                <w:rFonts w:ascii="宋体" w:hAnsi="宋体"/>
                <w:szCs w:val="21"/>
              </w:rPr>
            </w:pPr>
            <w:r>
              <w:rPr>
                <w:rFonts w:hint="eastAsia" w:ascii="宋体" w:hAnsi="宋体"/>
                <w:szCs w:val="21"/>
              </w:rPr>
              <w:t>装订</w:t>
            </w:r>
          </w:p>
        </w:tc>
        <w:tc>
          <w:tcPr>
            <w:tcW w:w="2085" w:type="dxa"/>
            <w:tcBorders>
              <w:top w:val="single" w:color="auto" w:sz="4" w:space="0"/>
              <w:left w:val="nil"/>
              <w:bottom w:val="single" w:color="auto" w:sz="4" w:space="0"/>
              <w:right w:val="single" w:color="auto" w:sz="4" w:space="0"/>
            </w:tcBorders>
            <w:vAlign w:val="center"/>
          </w:tcPr>
          <w:p w14:paraId="5230FBFE">
            <w:pPr>
              <w:widowControl/>
              <w:spacing w:line="400" w:lineRule="exact"/>
              <w:jc w:val="left"/>
              <w:rPr>
                <w:rFonts w:ascii="宋体" w:hAnsi="宋体"/>
                <w:szCs w:val="21"/>
              </w:rPr>
            </w:pPr>
          </w:p>
        </w:tc>
      </w:tr>
    </w:tbl>
    <w:p w14:paraId="7FBC925E">
      <w:pPr>
        <w:snapToGrid w:val="0"/>
        <w:spacing w:line="400" w:lineRule="exact"/>
        <w:ind w:left="480"/>
        <w:rPr>
          <w:rFonts w:hint="eastAsia" w:ascii="宋体" w:hAnsi="宋体" w:cs="宋体"/>
          <w:sz w:val="24"/>
        </w:rPr>
      </w:pPr>
      <w:bookmarkStart w:id="21" w:name="_Toc20448"/>
    </w:p>
    <w:p w14:paraId="48329987">
      <w:pPr>
        <w:pStyle w:val="2"/>
        <w:widowControl/>
        <w:jc w:val="center"/>
        <w:rPr>
          <w:rFonts w:cs="宋体"/>
          <w:color w:val="000000"/>
          <w:sz w:val="36"/>
          <w:szCs w:val="36"/>
          <w:shd w:val="clear" w:color="auto" w:fill="FFFFFF"/>
        </w:rPr>
      </w:pPr>
    </w:p>
    <w:p w14:paraId="0E45FB3E">
      <w:pPr>
        <w:pStyle w:val="2"/>
        <w:widowControl/>
        <w:jc w:val="center"/>
        <w:rPr>
          <w:rFonts w:cs="宋体"/>
          <w:color w:val="000000"/>
          <w:sz w:val="36"/>
          <w:szCs w:val="36"/>
          <w:shd w:val="clear" w:color="auto" w:fill="FFFFFF"/>
        </w:rPr>
      </w:pPr>
    </w:p>
    <w:p w14:paraId="06CA8698"/>
    <w:p w14:paraId="729AC69B"/>
    <w:p w14:paraId="74182031"/>
    <w:p w14:paraId="34176B26"/>
    <w:p w14:paraId="5866E3E0"/>
    <w:p w14:paraId="716FD935"/>
    <w:p w14:paraId="62157B35"/>
    <w:p w14:paraId="73FB3602"/>
    <w:p w14:paraId="337A222D"/>
    <w:p w14:paraId="79BC3532"/>
    <w:p w14:paraId="257C8B92"/>
    <w:p w14:paraId="673AB51F">
      <w:pPr>
        <w:rPr>
          <w:rFonts w:hint="eastAsia"/>
        </w:rPr>
      </w:pPr>
    </w:p>
    <w:p w14:paraId="1A102C60">
      <w:pPr>
        <w:pStyle w:val="2"/>
        <w:widowControl/>
        <w:jc w:val="center"/>
        <w:rPr>
          <w:rFonts w:cs="宋体"/>
          <w:color w:val="000000"/>
          <w:sz w:val="36"/>
          <w:szCs w:val="36"/>
          <w:shd w:val="clear" w:color="auto" w:fill="FFFFFF"/>
        </w:rPr>
      </w:pPr>
    </w:p>
    <w:p w14:paraId="6FA2F4EF">
      <w:pPr>
        <w:pStyle w:val="2"/>
        <w:widowControl/>
        <w:jc w:val="center"/>
      </w:pPr>
      <w:r>
        <w:rPr>
          <w:rFonts w:cs="宋体"/>
          <w:color w:val="000000"/>
          <w:sz w:val="36"/>
          <w:szCs w:val="36"/>
          <w:shd w:val="clear" w:color="auto" w:fill="FFFFFF"/>
        </w:rPr>
        <w:t>第</w:t>
      </w:r>
      <w:r>
        <w:rPr>
          <w:rFonts w:hint="eastAsia" w:cs="宋体"/>
          <w:color w:val="000000"/>
          <w:sz w:val="36"/>
          <w:szCs w:val="36"/>
          <w:shd w:val="clear" w:color="auto" w:fill="FFFFFF"/>
        </w:rPr>
        <w:t>四</w:t>
      </w:r>
      <w:r>
        <w:rPr>
          <w:rFonts w:cs="宋体"/>
          <w:color w:val="000000"/>
          <w:sz w:val="36"/>
          <w:szCs w:val="36"/>
          <w:shd w:val="clear" w:color="auto" w:fill="FFFFFF"/>
        </w:rPr>
        <w:t>章 合同草案条款</w:t>
      </w:r>
      <w:bookmarkEnd w:id="20"/>
      <w:bookmarkEnd w:id="21"/>
    </w:p>
    <w:p w14:paraId="3D41EDDE">
      <w:pPr>
        <w:spacing w:before="140" w:line="360" w:lineRule="auto"/>
        <w:ind w:firstLine="240" w:firstLineChars="100"/>
        <w:rPr>
          <w:rFonts w:ascii="宋体" w:hAnsi="宋体" w:cs="Arial"/>
          <w:kern w:val="0"/>
          <w:sz w:val="24"/>
        </w:rPr>
      </w:pPr>
      <w:bookmarkStart w:id="22" w:name="_Toc10146"/>
      <w:bookmarkStart w:id="23" w:name="_Toc521582477"/>
      <w:r>
        <w:rPr>
          <w:rFonts w:hint="eastAsia" w:ascii="宋体" w:hAnsi="宋体" w:cs="Arial"/>
          <w:kern w:val="0"/>
          <w:sz w:val="24"/>
        </w:rPr>
        <w:t>根据《中华人民共和国政府采购法》、《中华人民共和国民法典》等法律法规的规定，甲乙双方按照江苏中兴迅达工程管理咨询有限公司的成交结果签订本合同。</w:t>
      </w:r>
    </w:p>
    <w:p w14:paraId="53D292BC">
      <w:pPr>
        <w:spacing w:line="400" w:lineRule="exact"/>
        <w:rPr>
          <w:rFonts w:ascii="宋体" w:cs="Arial"/>
          <w:kern w:val="0"/>
          <w:sz w:val="24"/>
          <w:u w:val="single"/>
        </w:rPr>
      </w:pPr>
      <w:r>
        <w:rPr>
          <w:rFonts w:hint="eastAsia" w:ascii="宋体" w:hAnsi="宋体" w:cs="Arial"/>
          <w:kern w:val="0"/>
          <w:sz w:val="24"/>
        </w:rPr>
        <w:t>合同编号：</w:t>
      </w:r>
    </w:p>
    <w:p w14:paraId="73D75F67">
      <w:pPr>
        <w:spacing w:line="400" w:lineRule="exact"/>
        <w:rPr>
          <w:rFonts w:ascii="宋体"/>
          <w:sz w:val="24"/>
        </w:rPr>
      </w:pPr>
      <w:r>
        <w:rPr>
          <w:rFonts w:hint="eastAsia" w:ascii="宋体" w:hAnsi="宋体"/>
          <w:sz w:val="24"/>
        </w:rPr>
        <w:t>合同各方：</w:t>
      </w:r>
    </w:p>
    <w:p w14:paraId="1CC523A8">
      <w:pPr>
        <w:shd w:val="clear" w:color="auto" w:fill="FFFFFF"/>
        <w:spacing w:line="400" w:lineRule="exact"/>
        <w:jc w:val="left"/>
        <w:rPr>
          <w:rFonts w:ascii="宋体"/>
          <w:sz w:val="24"/>
        </w:rPr>
      </w:pPr>
      <w:r>
        <w:rPr>
          <w:rFonts w:hint="eastAsia" w:ascii="宋体" w:hAnsi="宋体"/>
          <w:sz w:val="24"/>
        </w:rPr>
        <w:t>采购人（以下称买方）：</w:t>
      </w:r>
      <w:r>
        <w:rPr>
          <w:rFonts w:ascii="宋体" w:hAnsi="宋体"/>
          <w:sz w:val="24"/>
          <w:u w:val="single"/>
        </w:rPr>
        <w:t xml:space="preserve">             </w:t>
      </w:r>
      <w:r>
        <w:rPr>
          <w:rFonts w:ascii="宋体" w:hAnsi="宋体"/>
          <w:sz w:val="24"/>
        </w:rPr>
        <w:t xml:space="preserve">  </w:t>
      </w:r>
      <w:r>
        <w:rPr>
          <w:rFonts w:hint="eastAsia" w:ascii="宋体" w:hAnsi="宋体"/>
          <w:sz w:val="24"/>
        </w:rPr>
        <w:t>供应商（以下称卖方）：</w:t>
      </w:r>
      <w:r>
        <w:rPr>
          <w:rFonts w:ascii="宋体" w:hAnsi="宋体"/>
          <w:sz w:val="24"/>
          <w:u w:val="single"/>
        </w:rPr>
        <w:t xml:space="preserve">              </w:t>
      </w:r>
      <w:r>
        <w:rPr>
          <w:rFonts w:ascii="宋体" w:hAnsi="宋体"/>
          <w:sz w:val="24"/>
        </w:rPr>
        <w:t xml:space="preserve"> </w:t>
      </w:r>
    </w:p>
    <w:p w14:paraId="6F2A876A">
      <w:pPr>
        <w:shd w:val="clear" w:color="auto" w:fill="FFFFFF"/>
        <w:spacing w:line="400" w:lineRule="exact"/>
        <w:jc w:val="left"/>
        <w:rPr>
          <w:rFonts w:ascii="宋体"/>
          <w:sz w:val="24"/>
        </w:rPr>
      </w:pPr>
      <w:r>
        <w:rPr>
          <w:rFonts w:hint="eastAsia" w:ascii="宋体" w:hAnsi="宋体"/>
          <w:sz w:val="24"/>
        </w:rPr>
        <w:t>联系人：</w:t>
      </w:r>
      <w:r>
        <w:rPr>
          <w:rFonts w:ascii="宋体" w:hAnsi="宋体"/>
          <w:sz w:val="24"/>
        </w:rPr>
        <w:t xml:space="preserve">                            </w:t>
      </w:r>
      <w:r>
        <w:rPr>
          <w:rFonts w:hint="eastAsia" w:ascii="宋体" w:hAnsi="宋体"/>
          <w:sz w:val="24"/>
        </w:rPr>
        <w:t xml:space="preserve"> 联系人：</w:t>
      </w:r>
    </w:p>
    <w:p w14:paraId="1B89195C">
      <w:pPr>
        <w:pStyle w:val="13"/>
        <w:widowControl/>
        <w:numPr>
          <w:ilvl w:val="0"/>
          <w:numId w:val="2"/>
        </w:numPr>
        <w:spacing w:line="400" w:lineRule="exact"/>
        <w:rPr>
          <w:rFonts w:ascii="黑体" w:hAnsi="黑体" w:eastAsia="黑体"/>
          <w:b/>
          <w:bCs/>
          <w:szCs w:val="30"/>
        </w:rPr>
      </w:pPr>
      <w:r>
        <w:rPr>
          <w:rFonts w:hint="eastAsia" w:ascii="黑体" w:hAnsi="黑体" w:eastAsia="黑体"/>
          <w:b/>
          <w:bCs/>
          <w:szCs w:val="30"/>
        </w:rPr>
        <w:t>合同通用条款</w:t>
      </w:r>
    </w:p>
    <w:p w14:paraId="355236CA">
      <w:pPr>
        <w:spacing w:line="400" w:lineRule="exact"/>
        <w:ind w:firstLine="472" w:firstLineChars="196"/>
        <w:jc w:val="left"/>
        <w:rPr>
          <w:rFonts w:ascii="宋体"/>
          <w:sz w:val="24"/>
        </w:rPr>
      </w:pPr>
      <w:r>
        <w:rPr>
          <w:rFonts w:ascii="宋体" w:hAnsi="宋体"/>
          <w:b/>
          <w:bCs/>
          <w:sz w:val="24"/>
        </w:rPr>
        <w:t>1</w:t>
      </w:r>
      <w:r>
        <w:rPr>
          <w:rFonts w:hint="eastAsia" w:ascii="宋体" w:hAnsi="宋体"/>
          <w:b/>
          <w:bCs/>
          <w:sz w:val="24"/>
        </w:rPr>
        <w:t>、定义</w:t>
      </w:r>
    </w:p>
    <w:p w14:paraId="54EBA1A6">
      <w:pPr>
        <w:spacing w:line="400" w:lineRule="exact"/>
        <w:ind w:firstLine="480" w:firstLineChars="200"/>
        <w:jc w:val="left"/>
        <w:rPr>
          <w:rFonts w:ascii="宋体"/>
          <w:sz w:val="24"/>
        </w:rPr>
      </w:pPr>
      <w:r>
        <w:rPr>
          <w:rFonts w:hint="eastAsia" w:ascii="宋体" w:hAnsi="宋体"/>
          <w:sz w:val="24"/>
        </w:rPr>
        <w:t>本合同中的下列术语应解释为：</w:t>
      </w:r>
    </w:p>
    <w:p w14:paraId="2DC956E9">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）“买方”系指从事本招标项目所述的购买货物和服务的国家机关、事业单位和团体组织。</w:t>
      </w:r>
    </w:p>
    <w:p w14:paraId="65990F7F">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）“卖方”系指前附表中所述提供货物和服务的中标供应商。</w:t>
      </w:r>
    </w:p>
    <w:p w14:paraId="44434DFE">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）“合同”系指买方与卖方签署的、合同格式中载明的买方与卖方所达成的协议，包括所有的附件、附录和构成合同的所有文件。</w:t>
      </w:r>
    </w:p>
    <w:p w14:paraId="6E604DF7">
      <w:pPr>
        <w:spacing w:line="400" w:lineRule="exact"/>
        <w:ind w:firstLine="360" w:firstLineChars="150"/>
        <w:jc w:val="left"/>
        <w:rPr>
          <w:rFonts w:ascii="宋体"/>
          <w:sz w:val="24"/>
        </w:rPr>
      </w:pPr>
      <w:r>
        <w:rPr>
          <w:rFonts w:hint="eastAsia" w:ascii="宋体" w:hAnsi="宋体"/>
          <w:sz w:val="24"/>
        </w:rPr>
        <w:t>（</w:t>
      </w:r>
      <w:r>
        <w:rPr>
          <w:rFonts w:ascii="宋体" w:hAnsi="宋体"/>
          <w:sz w:val="24"/>
        </w:rPr>
        <w:t>4</w:t>
      </w:r>
      <w:r>
        <w:rPr>
          <w:rFonts w:hint="eastAsia" w:ascii="宋体" w:hAnsi="宋体"/>
          <w:sz w:val="24"/>
        </w:rPr>
        <w:t>）“合同价”系指根据合同规定，卖方在正确地完全履行合同义务后买方应支付给卖方的价格。</w:t>
      </w:r>
    </w:p>
    <w:p w14:paraId="102191FF">
      <w:pPr>
        <w:spacing w:line="400" w:lineRule="exact"/>
        <w:ind w:firstLine="360" w:firstLineChars="150"/>
        <w:jc w:val="left"/>
        <w:rPr>
          <w:rFonts w:ascii="宋体"/>
          <w:sz w:val="24"/>
        </w:rPr>
      </w:pPr>
      <w:r>
        <w:rPr>
          <w:rFonts w:hint="eastAsia" w:ascii="宋体" w:hAnsi="宋体"/>
          <w:sz w:val="24"/>
        </w:rPr>
        <w:t>（</w:t>
      </w:r>
      <w:r>
        <w:rPr>
          <w:rFonts w:ascii="宋体" w:hAnsi="宋体"/>
          <w:sz w:val="24"/>
        </w:rPr>
        <w:t>5</w:t>
      </w:r>
      <w:r>
        <w:rPr>
          <w:rFonts w:hint="eastAsia" w:ascii="宋体" w:hAnsi="宋体"/>
          <w:sz w:val="24"/>
        </w:rPr>
        <w:t>）“货物”系指卖方根据合同规定完成本项目供货及安装项目应向买方提供的一切设备、保险、税金、备品备件、工具、手册及其它有关技术资料和材料。</w:t>
      </w:r>
    </w:p>
    <w:p w14:paraId="7AC2FC10">
      <w:pPr>
        <w:spacing w:line="400" w:lineRule="exact"/>
        <w:ind w:firstLine="360" w:firstLineChars="150"/>
        <w:jc w:val="left"/>
        <w:rPr>
          <w:rFonts w:ascii="宋体"/>
          <w:sz w:val="24"/>
        </w:rPr>
      </w:pPr>
      <w:r>
        <w:rPr>
          <w:rFonts w:hint="eastAsia" w:ascii="宋体" w:hAnsi="宋体"/>
          <w:sz w:val="24"/>
        </w:rPr>
        <w:t>（</w:t>
      </w:r>
      <w:r>
        <w:rPr>
          <w:rFonts w:ascii="宋体" w:hAnsi="宋体"/>
          <w:sz w:val="24"/>
        </w:rPr>
        <w:t>6</w:t>
      </w:r>
      <w:r>
        <w:rPr>
          <w:rFonts w:hint="eastAsia" w:ascii="宋体" w:hAnsi="宋体"/>
          <w:sz w:val="24"/>
        </w:rPr>
        <w:t>）“服务”系指根据合同规定卖方承担与供货有关的辅助服务，如运输、保险以及其它的伴随服务，比如安装、调试、测试、提供技术服务、培训和其他所有的卖方应承担的义务。</w:t>
      </w:r>
    </w:p>
    <w:p w14:paraId="4999ED23">
      <w:pPr>
        <w:spacing w:line="400" w:lineRule="exact"/>
        <w:jc w:val="left"/>
        <w:rPr>
          <w:rFonts w:ascii="宋体"/>
          <w:b/>
          <w:bCs/>
          <w:sz w:val="24"/>
        </w:rPr>
      </w:pPr>
      <w:r>
        <w:rPr>
          <w:rFonts w:ascii="宋体" w:hAnsi="宋体"/>
          <w:b/>
          <w:bCs/>
          <w:sz w:val="24"/>
        </w:rPr>
        <w:t>2</w:t>
      </w:r>
      <w:r>
        <w:rPr>
          <w:rFonts w:hint="eastAsia" w:ascii="宋体" w:hAnsi="宋体"/>
          <w:b/>
          <w:bCs/>
          <w:sz w:val="24"/>
        </w:rPr>
        <w:t>、标的</w:t>
      </w:r>
    </w:p>
    <w:p w14:paraId="09A7974C">
      <w:pPr>
        <w:spacing w:line="400" w:lineRule="exact"/>
        <w:ind w:firstLine="480" w:firstLineChars="200"/>
        <w:jc w:val="left"/>
        <w:rPr>
          <w:rFonts w:ascii="宋体"/>
          <w:bCs/>
          <w:sz w:val="24"/>
        </w:rPr>
      </w:pPr>
      <w:r>
        <w:rPr>
          <w:rFonts w:hint="eastAsia" w:ascii="宋体" w:hAnsi="宋体"/>
          <w:bCs/>
          <w:sz w:val="24"/>
        </w:rPr>
        <w:t>货物名称、型号规格、制造商、产地、单位、数量、单价、金额及合同价（见合同专用条款）</w:t>
      </w:r>
    </w:p>
    <w:p w14:paraId="108C9FD8">
      <w:pPr>
        <w:spacing w:line="400" w:lineRule="exact"/>
        <w:jc w:val="left"/>
        <w:rPr>
          <w:rFonts w:ascii="宋体"/>
          <w:sz w:val="24"/>
        </w:rPr>
      </w:pPr>
      <w:r>
        <w:rPr>
          <w:rFonts w:ascii="宋体" w:hAnsi="宋体"/>
          <w:b/>
          <w:bCs/>
          <w:sz w:val="24"/>
        </w:rPr>
        <w:t>3</w:t>
      </w:r>
      <w:r>
        <w:rPr>
          <w:rFonts w:hint="eastAsia" w:ascii="宋体" w:hAnsi="宋体"/>
          <w:b/>
          <w:bCs/>
          <w:sz w:val="24"/>
        </w:rPr>
        <w:t>、技术性能</w:t>
      </w:r>
    </w:p>
    <w:p w14:paraId="0E635736">
      <w:pPr>
        <w:spacing w:line="400" w:lineRule="exact"/>
        <w:ind w:firstLine="480" w:firstLineChars="200"/>
        <w:jc w:val="left"/>
        <w:rPr>
          <w:rFonts w:ascii="宋体"/>
          <w:sz w:val="24"/>
        </w:rPr>
      </w:pPr>
      <w:r>
        <w:rPr>
          <w:rFonts w:hint="eastAsia" w:ascii="宋体" w:hAnsi="宋体"/>
          <w:sz w:val="24"/>
        </w:rPr>
        <w:t>卖方所提供货物和服务的技术规格、内容应与招标文件规定的技术规范相一致；若技术性能无相应说明，则按国家有关部门最新颁布的标准及规范为准。</w:t>
      </w:r>
    </w:p>
    <w:p w14:paraId="06C1926A">
      <w:pPr>
        <w:spacing w:line="400" w:lineRule="exact"/>
        <w:jc w:val="left"/>
        <w:rPr>
          <w:rFonts w:ascii="宋体"/>
          <w:sz w:val="24"/>
        </w:rPr>
      </w:pPr>
      <w:r>
        <w:rPr>
          <w:rFonts w:ascii="宋体" w:hAnsi="宋体"/>
          <w:b/>
          <w:bCs/>
          <w:sz w:val="24"/>
        </w:rPr>
        <w:t>4</w:t>
      </w:r>
      <w:r>
        <w:rPr>
          <w:rFonts w:hint="eastAsia" w:ascii="宋体" w:hAnsi="宋体"/>
          <w:b/>
          <w:bCs/>
          <w:sz w:val="24"/>
        </w:rPr>
        <w:t>、专利权及版权</w:t>
      </w:r>
    </w:p>
    <w:p w14:paraId="0CFE650E">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）卖方对买方提供的业务资料、技术资料应严格保密，不得扩散。</w:t>
      </w:r>
    </w:p>
    <w:p w14:paraId="237C6E69">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）卖方应保证买方在使用、接受本合同货物和服务或其任何一部分时不受卖方及第三方提出侵犯其专利权、版权、商标权和工业设计权等知识产权的起诉。一旦出现侵权，由卖方负全部责任。</w:t>
      </w:r>
    </w:p>
    <w:p w14:paraId="4ED2B97D">
      <w:pPr>
        <w:spacing w:line="400" w:lineRule="exact"/>
        <w:jc w:val="left"/>
        <w:rPr>
          <w:rFonts w:ascii="宋体"/>
          <w:b/>
          <w:bCs/>
          <w:sz w:val="24"/>
        </w:rPr>
      </w:pPr>
      <w:r>
        <w:rPr>
          <w:rFonts w:ascii="宋体" w:hAnsi="宋体"/>
          <w:b/>
          <w:bCs/>
          <w:sz w:val="24"/>
        </w:rPr>
        <w:t>5</w:t>
      </w:r>
      <w:r>
        <w:rPr>
          <w:rFonts w:hint="eastAsia" w:ascii="宋体" w:hAnsi="宋体"/>
          <w:b/>
          <w:bCs/>
          <w:sz w:val="24"/>
        </w:rPr>
        <w:t>、包装要求</w:t>
      </w:r>
    </w:p>
    <w:p w14:paraId="08E95184">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除合同另有规定外，卖方提供的全部货物均应按标准保护措施进行包装。该包装应适应于远距离运输、防潮、防震、防锈和防野蛮装卸，以确保货物安全无损运抵指定现场。由于包装不善所引起的货物锈蚀、损坏和损失均由卖方承担。</w:t>
      </w:r>
    </w:p>
    <w:p w14:paraId="2060CB5A">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）每件包装箱内应附一份详细装箱单、质量证书和保修保养证书。</w:t>
      </w:r>
    </w:p>
    <w:p w14:paraId="2A5D32D7">
      <w:pPr>
        <w:spacing w:line="400" w:lineRule="exact"/>
        <w:jc w:val="left"/>
        <w:rPr>
          <w:rFonts w:ascii="宋体" w:hAnsi="宋体"/>
          <w:b/>
          <w:bCs/>
          <w:sz w:val="24"/>
        </w:rPr>
      </w:pPr>
      <w:r>
        <w:rPr>
          <w:rFonts w:ascii="宋体" w:hAnsi="宋体"/>
          <w:b/>
          <w:bCs/>
          <w:sz w:val="24"/>
        </w:rPr>
        <w:t>6</w:t>
      </w:r>
      <w:r>
        <w:rPr>
          <w:rFonts w:hint="eastAsia" w:ascii="宋体" w:hAnsi="宋体"/>
          <w:b/>
          <w:bCs/>
          <w:sz w:val="24"/>
        </w:rPr>
        <w:t>、验收</w:t>
      </w:r>
    </w:p>
    <w:p w14:paraId="0553B7A2">
      <w:pPr>
        <w:spacing w:line="400" w:lineRule="exact"/>
        <w:ind w:firstLine="315" w:firstLineChars="150"/>
        <w:jc w:val="left"/>
        <w:rPr>
          <w:rFonts w:ascii="宋体" w:hAnsi="宋体"/>
          <w:sz w:val="24"/>
        </w:rPr>
      </w:pPr>
      <w:r>
        <w:rPr>
          <w:rFonts w:hint="eastAsia"/>
        </w:rPr>
        <w:t xml:space="preserve"> </w:t>
      </w:r>
      <w:r>
        <w:rPr>
          <w:rFonts w:hint="eastAsia" w:ascii="宋体" w:hAnsi="宋体"/>
          <w:sz w:val="24"/>
        </w:rPr>
        <w:t>1.买方以采购文件、中标（或成交）人的响应文件、合同为依据，成立验收小组，负责对项目进行全面的验收，卖方须向买方人提供详细的预验收方案。</w:t>
      </w:r>
    </w:p>
    <w:p w14:paraId="28F18C54">
      <w:pPr>
        <w:spacing w:line="400" w:lineRule="exact"/>
        <w:ind w:firstLine="360" w:firstLineChars="150"/>
        <w:jc w:val="left"/>
        <w:rPr>
          <w:rFonts w:ascii="宋体" w:hAnsi="宋体"/>
          <w:sz w:val="24"/>
        </w:rPr>
      </w:pPr>
      <w:r>
        <w:rPr>
          <w:rFonts w:hint="eastAsia" w:ascii="宋体" w:hAnsi="宋体"/>
          <w:sz w:val="24"/>
        </w:rPr>
        <w:t>2.买方按照国家规定标准验收，没有国家标准的按行业标准验收，无行业标准的按地方或企业标准验收，卖方应予以配合。涉及安全、消防、环保等其他需要由质检或行业主管部门验收的项目，买方须约请相关部门和专家参加项目验收。</w:t>
      </w:r>
    </w:p>
    <w:p w14:paraId="22402D05">
      <w:pPr>
        <w:spacing w:line="400" w:lineRule="exact"/>
        <w:jc w:val="left"/>
        <w:rPr>
          <w:rFonts w:ascii="宋体"/>
          <w:sz w:val="24"/>
        </w:rPr>
      </w:pPr>
      <w:r>
        <w:rPr>
          <w:rFonts w:ascii="宋体" w:hAnsi="宋体"/>
          <w:b/>
          <w:bCs/>
          <w:sz w:val="24"/>
        </w:rPr>
        <w:t>7</w:t>
      </w:r>
      <w:r>
        <w:rPr>
          <w:rFonts w:hint="eastAsia" w:ascii="宋体" w:hAnsi="宋体"/>
          <w:b/>
          <w:bCs/>
          <w:sz w:val="24"/>
        </w:rPr>
        <w:t>、付款</w:t>
      </w:r>
    </w:p>
    <w:p w14:paraId="324E8C4E">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）本合同以人民币付款。</w:t>
      </w:r>
    </w:p>
    <w:p w14:paraId="707D12CB">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）卖方应按照与买方签订的合同规定交货，交货后卖方应向买方提供下列单据，买方按合同规定审核后付款：</w:t>
      </w:r>
    </w:p>
    <w:p w14:paraId="19CF3C85">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1 \* GB3 </w:instrText>
      </w:r>
      <w:r>
        <w:rPr>
          <w:rFonts w:ascii="宋体" w:hAnsi="宋体"/>
          <w:sz w:val="24"/>
        </w:rPr>
        <w:fldChar w:fldCharType="separate"/>
      </w:r>
      <w:r>
        <w:rPr>
          <w:rFonts w:hint="eastAsia" w:ascii="宋体" w:hAnsi="宋体"/>
          <w:sz w:val="24"/>
        </w:rPr>
        <w:t>①</w:t>
      </w:r>
      <w:r>
        <w:rPr>
          <w:rFonts w:ascii="宋体" w:hAnsi="宋体"/>
          <w:sz w:val="24"/>
        </w:rPr>
        <w:fldChar w:fldCharType="end"/>
      </w:r>
      <w:r>
        <w:rPr>
          <w:rFonts w:hint="eastAsia" w:ascii="宋体" w:hAnsi="宋体"/>
          <w:sz w:val="24"/>
        </w:rPr>
        <w:t>发票；</w:t>
      </w:r>
    </w:p>
    <w:p w14:paraId="1E7C9EEC">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2 \* GB3 </w:instrText>
      </w:r>
      <w:r>
        <w:rPr>
          <w:rFonts w:ascii="宋体" w:hAnsi="宋体"/>
          <w:sz w:val="24"/>
        </w:rPr>
        <w:fldChar w:fldCharType="separate"/>
      </w:r>
      <w:r>
        <w:rPr>
          <w:rFonts w:hint="eastAsia" w:ascii="宋体" w:hAnsi="宋体"/>
          <w:sz w:val="24"/>
        </w:rPr>
        <w:t>②</w:t>
      </w:r>
      <w:r>
        <w:rPr>
          <w:rFonts w:ascii="宋体" w:hAnsi="宋体"/>
          <w:sz w:val="24"/>
        </w:rPr>
        <w:fldChar w:fldCharType="end"/>
      </w:r>
      <w:r>
        <w:rPr>
          <w:rFonts w:hint="eastAsia" w:ascii="宋体" w:hAnsi="宋体"/>
          <w:sz w:val="24"/>
        </w:rPr>
        <w:t>买方加盖公章证明交付使用合格的验收证明文件；</w:t>
      </w:r>
    </w:p>
    <w:p w14:paraId="2E663741">
      <w:pPr>
        <w:spacing w:line="400" w:lineRule="exact"/>
        <w:ind w:firstLine="360" w:firstLineChars="150"/>
        <w:jc w:val="left"/>
        <w:rPr>
          <w:rFonts w:ascii="宋体"/>
          <w:sz w:val="24"/>
        </w:rPr>
      </w:pPr>
      <w:r>
        <w:rPr>
          <w:rFonts w:ascii="宋体" w:hAnsi="宋体"/>
          <w:sz w:val="24"/>
        </w:rPr>
        <w:t xml:space="preserve"> </w:t>
      </w:r>
      <w:r>
        <w:rPr>
          <w:rFonts w:ascii="宋体" w:hAnsi="宋体"/>
          <w:sz w:val="24"/>
        </w:rPr>
        <w:fldChar w:fldCharType="begin"/>
      </w:r>
      <w:r>
        <w:rPr>
          <w:rFonts w:ascii="宋体" w:hAnsi="宋体"/>
          <w:sz w:val="24"/>
        </w:rPr>
        <w:instrText xml:space="preserve"> = 3 \* GB3 </w:instrText>
      </w:r>
      <w:r>
        <w:rPr>
          <w:rFonts w:ascii="宋体" w:hAnsi="宋体"/>
          <w:sz w:val="24"/>
        </w:rPr>
        <w:fldChar w:fldCharType="separate"/>
      </w:r>
      <w:r>
        <w:rPr>
          <w:rFonts w:hint="eastAsia" w:ascii="宋体" w:hAnsi="宋体"/>
          <w:sz w:val="24"/>
        </w:rPr>
        <w:t>③</w:t>
      </w:r>
      <w:r>
        <w:rPr>
          <w:rFonts w:ascii="宋体" w:hAnsi="宋体"/>
          <w:sz w:val="24"/>
        </w:rPr>
        <w:fldChar w:fldCharType="end"/>
      </w:r>
      <w:r>
        <w:rPr>
          <w:rFonts w:hint="eastAsia" w:ascii="宋体" w:hAnsi="宋体"/>
          <w:sz w:val="24"/>
        </w:rPr>
        <w:t>《中标通知书》</w:t>
      </w:r>
      <w:r>
        <w:rPr>
          <w:rFonts w:ascii="宋体" w:hAnsi="宋体"/>
          <w:sz w:val="24"/>
        </w:rPr>
        <w:t xml:space="preserve"> </w:t>
      </w:r>
      <w:r>
        <w:rPr>
          <w:rFonts w:hint="eastAsia" w:ascii="宋体" w:hAnsi="宋体"/>
          <w:sz w:val="24"/>
        </w:rPr>
        <w:t>；</w:t>
      </w:r>
    </w:p>
    <w:p w14:paraId="08CF9267">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4 \* GB3 </w:instrText>
      </w:r>
      <w:r>
        <w:rPr>
          <w:rFonts w:ascii="宋体" w:hAnsi="宋体"/>
          <w:sz w:val="24"/>
        </w:rPr>
        <w:fldChar w:fldCharType="separate"/>
      </w:r>
      <w:r>
        <w:rPr>
          <w:rFonts w:hint="eastAsia" w:ascii="宋体" w:hAnsi="宋体"/>
          <w:sz w:val="24"/>
        </w:rPr>
        <w:t>④</w:t>
      </w:r>
      <w:r>
        <w:rPr>
          <w:rFonts w:ascii="宋体" w:hAnsi="宋体"/>
          <w:sz w:val="24"/>
        </w:rPr>
        <w:fldChar w:fldCharType="end"/>
      </w:r>
      <w:r>
        <w:rPr>
          <w:rFonts w:ascii="宋体" w:hAnsi="宋体"/>
          <w:sz w:val="24"/>
        </w:rPr>
        <w:t xml:space="preserve"> </w:t>
      </w:r>
      <w:r>
        <w:rPr>
          <w:rFonts w:hint="eastAsia" w:ascii="宋体" w:hAnsi="宋体"/>
          <w:sz w:val="24"/>
        </w:rPr>
        <w:t>本项目的政府采购合同。</w:t>
      </w:r>
    </w:p>
    <w:p w14:paraId="0137AD31">
      <w:pPr>
        <w:numPr>
          <w:ilvl w:val="0"/>
          <w:numId w:val="3"/>
        </w:numPr>
        <w:spacing w:line="400" w:lineRule="exact"/>
        <w:ind w:firstLine="360" w:firstLineChars="150"/>
        <w:jc w:val="left"/>
        <w:rPr>
          <w:rFonts w:ascii="宋体" w:hAnsi="宋体"/>
          <w:sz w:val="24"/>
        </w:rPr>
      </w:pPr>
      <w:r>
        <w:rPr>
          <w:rFonts w:hint="eastAsia" w:ascii="宋体" w:hAnsi="宋体"/>
          <w:sz w:val="24"/>
        </w:rPr>
        <w:t>具体的付款方式及期限（见合同专用条款）。</w:t>
      </w:r>
    </w:p>
    <w:p w14:paraId="4E343388">
      <w:pPr>
        <w:spacing w:line="400" w:lineRule="exact"/>
        <w:jc w:val="left"/>
        <w:rPr>
          <w:rFonts w:ascii="宋体"/>
          <w:sz w:val="24"/>
        </w:rPr>
      </w:pPr>
      <w:r>
        <w:rPr>
          <w:rFonts w:ascii="宋体" w:hAnsi="宋体"/>
          <w:b/>
          <w:bCs/>
          <w:sz w:val="24"/>
        </w:rPr>
        <w:t>8</w:t>
      </w:r>
      <w:r>
        <w:rPr>
          <w:rFonts w:hint="eastAsia" w:ascii="宋体" w:hAnsi="宋体"/>
          <w:b/>
          <w:bCs/>
          <w:sz w:val="24"/>
        </w:rPr>
        <w:t>、伴随服务</w:t>
      </w:r>
      <w:r>
        <w:rPr>
          <w:rFonts w:ascii="宋体" w:hAnsi="宋体"/>
          <w:b/>
          <w:bCs/>
          <w:sz w:val="24"/>
        </w:rPr>
        <w:t xml:space="preserve"> </w:t>
      </w:r>
    </w:p>
    <w:p w14:paraId="1595AC4E">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）卖方应按照报价文件的承诺和合同中所附的服务承诺提供服务。</w:t>
      </w:r>
    </w:p>
    <w:p w14:paraId="61BF2ED1">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）除交付标的物外，卖方还应提供下列服务：</w:t>
      </w:r>
    </w:p>
    <w:p w14:paraId="7093E22F">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1 \* GB3 </w:instrText>
      </w:r>
      <w:r>
        <w:rPr>
          <w:rFonts w:ascii="宋体" w:hAnsi="宋体"/>
          <w:sz w:val="24"/>
        </w:rPr>
        <w:fldChar w:fldCharType="separate"/>
      </w:r>
      <w:r>
        <w:rPr>
          <w:rFonts w:hint="eastAsia" w:ascii="宋体" w:hAnsi="宋体"/>
          <w:sz w:val="24"/>
        </w:rPr>
        <w:t>①</w:t>
      </w:r>
      <w:r>
        <w:rPr>
          <w:rFonts w:ascii="宋体" w:hAnsi="宋体"/>
          <w:sz w:val="24"/>
        </w:rPr>
        <w:fldChar w:fldCharType="end"/>
      </w:r>
      <w:r>
        <w:rPr>
          <w:rFonts w:hint="eastAsia" w:ascii="宋体" w:hAnsi="宋体"/>
          <w:sz w:val="24"/>
        </w:rPr>
        <w:t>货物的现场安装和启动监督；</w:t>
      </w:r>
    </w:p>
    <w:p w14:paraId="35B59007">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2 \* GB3 </w:instrText>
      </w:r>
      <w:r>
        <w:rPr>
          <w:rFonts w:ascii="宋体" w:hAnsi="宋体"/>
          <w:sz w:val="24"/>
        </w:rPr>
        <w:fldChar w:fldCharType="separate"/>
      </w:r>
      <w:r>
        <w:rPr>
          <w:rFonts w:hint="eastAsia" w:ascii="宋体" w:hAnsi="宋体"/>
          <w:sz w:val="24"/>
        </w:rPr>
        <w:t>②</w:t>
      </w:r>
      <w:r>
        <w:rPr>
          <w:rFonts w:ascii="宋体" w:hAnsi="宋体"/>
          <w:sz w:val="24"/>
        </w:rPr>
        <w:fldChar w:fldCharType="end"/>
      </w:r>
      <w:r>
        <w:rPr>
          <w:rFonts w:hint="eastAsia" w:ascii="宋体" w:hAnsi="宋体"/>
          <w:sz w:val="24"/>
        </w:rPr>
        <w:t>提供货物安装和维护所需的工具；</w:t>
      </w:r>
    </w:p>
    <w:p w14:paraId="303B9F22">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3 \* GB3 </w:instrText>
      </w:r>
      <w:r>
        <w:rPr>
          <w:rFonts w:ascii="宋体" w:hAnsi="宋体"/>
          <w:sz w:val="24"/>
        </w:rPr>
        <w:fldChar w:fldCharType="separate"/>
      </w:r>
      <w:r>
        <w:rPr>
          <w:rFonts w:hint="eastAsia" w:ascii="宋体" w:hAnsi="宋体"/>
          <w:sz w:val="24"/>
        </w:rPr>
        <w:t>③</w:t>
      </w:r>
      <w:r>
        <w:rPr>
          <w:rFonts w:ascii="宋体" w:hAnsi="宋体"/>
          <w:sz w:val="24"/>
        </w:rPr>
        <w:fldChar w:fldCharType="end"/>
      </w:r>
      <w:r>
        <w:rPr>
          <w:rFonts w:hint="eastAsia" w:ascii="宋体" w:hAnsi="宋体"/>
          <w:sz w:val="24"/>
        </w:rPr>
        <w:t>在合同中卖方承诺的期限内对所提供货物实施运行监督、维护，但前提条件是该服务并不能免除卖方在质量保证期内应承担的义务；</w:t>
      </w:r>
    </w:p>
    <w:p w14:paraId="0863B266">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4 \* GB3 </w:instrText>
      </w:r>
      <w:r>
        <w:rPr>
          <w:rFonts w:ascii="宋体" w:hAnsi="宋体"/>
          <w:sz w:val="24"/>
        </w:rPr>
        <w:fldChar w:fldCharType="separate"/>
      </w:r>
      <w:r>
        <w:rPr>
          <w:rFonts w:hint="eastAsia" w:ascii="宋体" w:hAnsi="宋体"/>
          <w:sz w:val="24"/>
        </w:rPr>
        <w:t>④</w:t>
      </w:r>
      <w:r>
        <w:rPr>
          <w:rFonts w:ascii="宋体" w:hAnsi="宋体"/>
          <w:sz w:val="24"/>
        </w:rPr>
        <w:fldChar w:fldCharType="end"/>
      </w:r>
      <w:r>
        <w:rPr>
          <w:rFonts w:hint="eastAsia" w:ascii="宋体" w:hAnsi="宋体"/>
          <w:sz w:val="24"/>
        </w:rPr>
        <w:t>在货物交货现场就设备的安装、调试、启动、运行、维护等对买方人员进行培训。</w:t>
      </w:r>
    </w:p>
    <w:p w14:paraId="53F5F83D">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）伴随服务的费用应含在合同价中，不单独进行支付。</w:t>
      </w:r>
    </w:p>
    <w:p w14:paraId="23E5BBBD">
      <w:pPr>
        <w:spacing w:line="400" w:lineRule="exact"/>
        <w:jc w:val="left"/>
        <w:rPr>
          <w:rFonts w:ascii="宋体"/>
          <w:sz w:val="24"/>
        </w:rPr>
      </w:pPr>
      <w:r>
        <w:rPr>
          <w:rFonts w:ascii="宋体" w:hAnsi="宋体"/>
          <w:b/>
          <w:bCs/>
          <w:sz w:val="24"/>
        </w:rPr>
        <w:t>9</w:t>
      </w:r>
      <w:r>
        <w:rPr>
          <w:rFonts w:hint="eastAsia" w:ascii="宋体" w:hAnsi="宋体"/>
          <w:b/>
          <w:bCs/>
          <w:sz w:val="24"/>
        </w:rPr>
        <w:t>、质量保证</w:t>
      </w:r>
    </w:p>
    <w:p w14:paraId="75241325">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）投标人所提供货物必须遵守各种国家和部颁标准和有关规定。</w:t>
      </w:r>
    </w:p>
    <w:p w14:paraId="47613367">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）投标人所提供货物及服务必须达到本招标文件中规定的要求。</w:t>
      </w:r>
    </w:p>
    <w:p w14:paraId="5FAEDCAB">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卖方应保证货物是全新、未使用过的，是经过合法渠道进货的原装合格正品，并完全符合合同规定的质量、规格和性能的要求。卖方应保证其货物在正确安装、正常使用和保养条件下，在其使用寿命期内应具有满意的性能。本项目最终验收后，在质量保证期内，卖方应对由于设计、开发、编制、工艺或选型等的缺陷而发生的任何不足或故障负责，费用由卖方负担。</w:t>
      </w:r>
    </w:p>
    <w:p w14:paraId="405C3BA3">
      <w:pPr>
        <w:spacing w:line="400" w:lineRule="exact"/>
        <w:ind w:firstLine="360" w:firstLineChars="150"/>
        <w:jc w:val="left"/>
        <w:rPr>
          <w:rFonts w:ascii="宋体"/>
          <w:sz w:val="24"/>
        </w:rPr>
      </w:pPr>
      <w:r>
        <w:rPr>
          <w:rFonts w:hint="eastAsia" w:ascii="宋体" w:hAnsi="宋体"/>
          <w:sz w:val="24"/>
        </w:rPr>
        <w:t>（</w:t>
      </w:r>
      <w:r>
        <w:rPr>
          <w:rFonts w:ascii="宋体" w:hAnsi="宋体"/>
          <w:sz w:val="24"/>
        </w:rPr>
        <w:t>4</w:t>
      </w:r>
      <w:r>
        <w:rPr>
          <w:rFonts w:hint="eastAsia" w:ascii="宋体" w:hAnsi="宋体"/>
          <w:sz w:val="24"/>
        </w:rPr>
        <w:t>）在交货之前，卖方应对提供的货物质量、规格、性能和数量进行精确和全面的检测，并出具证明产品有报价文件相符的证明书和质量检验证书。投标书所规定的品牌型号不得变更，如特殊原因确需变更，则要求证明替代品更优、更好且价格不得变动。</w:t>
      </w:r>
    </w:p>
    <w:p w14:paraId="62AAB21E">
      <w:pPr>
        <w:spacing w:line="400" w:lineRule="exact"/>
        <w:ind w:firstLine="360" w:firstLineChars="150"/>
        <w:jc w:val="left"/>
        <w:rPr>
          <w:rFonts w:ascii="宋体"/>
          <w:sz w:val="24"/>
        </w:rPr>
      </w:pPr>
      <w:r>
        <w:rPr>
          <w:rFonts w:hint="eastAsia" w:ascii="宋体" w:hAnsi="宋体"/>
          <w:sz w:val="24"/>
        </w:rPr>
        <w:t>（</w:t>
      </w:r>
      <w:r>
        <w:rPr>
          <w:rFonts w:ascii="宋体" w:hAnsi="宋体"/>
          <w:sz w:val="24"/>
        </w:rPr>
        <w:t>5</w:t>
      </w:r>
      <w:r>
        <w:rPr>
          <w:rFonts w:hint="eastAsia" w:ascii="宋体" w:hAnsi="宋体"/>
          <w:sz w:val="24"/>
        </w:rPr>
        <w:t>）交付使用前出现任何不合格情况，一律退换新品。在质量保证期内发生的货物损坏和性能不合格（非使用不当原因造成），除买方同意修复者外，可以退换新品。</w:t>
      </w:r>
    </w:p>
    <w:p w14:paraId="123CA75A">
      <w:pPr>
        <w:spacing w:line="400" w:lineRule="exact"/>
        <w:ind w:firstLine="360" w:firstLineChars="150"/>
        <w:jc w:val="left"/>
        <w:rPr>
          <w:rFonts w:ascii="宋体"/>
          <w:sz w:val="24"/>
        </w:rPr>
      </w:pPr>
      <w:r>
        <w:rPr>
          <w:rFonts w:hint="eastAsia" w:ascii="宋体" w:hAnsi="宋体"/>
          <w:sz w:val="24"/>
        </w:rPr>
        <w:t>（</w:t>
      </w:r>
      <w:r>
        <w:rPr>
          <w:rFonts w:ascii="宋体" w:hAnsi="宋体"/>
          <w:sz w:val="24"/>
        </w:rPr>
        <w:t>6</w:t>
      </w:r>
      <w:r>
        <w:rPr>
          <w:rFonts w:hint="eastAsia" w:ascii="宋体" w:hAnsi="宋体"/>
          <w:sz w:val="24"/>
        </w:rPr>
        <w:t>）根据第三方技术机构测试、检验结果或者在质量保证期内，如果货物的数量、质量、性能或规格与合同不符，或证明货物是有缺陷的，包括潜在的缺陷或使用不符合要求的材料等，买方以书面形式向卖方提出本保证下的索赔。</w:t>
      </w:r>
    </w:p>
    <w:p w14:paraId="727095E4">
      <w:pPr>
        <w:spacing w:line="400" w:lineRule="exact"/>
        <w:ind w:firstLine="360" w:firstLineChars="150"/>
        <w:jc w:val="left"/>
        <w:rPr>
          <w:rFonts w:ascii="宋体"/>
          <w:sz w:val="24"/>
        </w:rPr>
      </w:pPr>
      <w:r>
        <w:rPr>
          <w:rFonts w:hint="eastAsia" w:ascii="宋体" w:hAnsi="宋体"/>
          <w:sz w:val="24"/>
        </w:rPr>
        <w:t>（</w:t>
      </w:r>
      <w:r>
        <w:rPr>
          <w:rFonts w:ascii="宋体" w:hAnsi="宋体"/>
          <w:sz w:val="24"/>
        </w:rPr>
        <w:t>7</w:t>
      </w:r>
      <w:r>
        <w:rPr>
          <w:rFonts w:hint="eastAsia" w:ascii="宋体" w:hAnsi="宋体"/>
          <w:sz w:val="24"/>
        </w:rPr>
        <w:t>）卖方在收到通知后，应在合同中所附服务承诺约定的时间内主动协助买方对货物免费维修、更换有缺陷的货物或部件。</w:t>
      </w:r>
    </w:p>
    <w:p w14:paraId="40FE062E">
      <w:pPr>
        <w:spacing w:line="400" w:lineRule="exact"/>
        <w:ind w:firstLine="360" w:firstLineChars="150"/>
        <w:jc w:val="left"/>
        <w:rPr>
          <w:rFonts w:ascii="宋体"/>
          <w:sz w:val="24"/>
        </w:rPr>
      </w:pPr>
      <w:r>
        <w:rPr>
          <w:rFonts w:hint="eastAsia" w:ascii="宋体" w:hAnsi="宋体"/>
          <w:sz w:val="24"/>
        </w:rPr>
        <w:t>（</w:t>
      </w:r>
      <w:r>
        <w:rPr>
          <w:rFonts w:ascii="宋体" w:hAnsi="宋体"/>
          <w:sz w:val="24"/>
        </w:rPr>
        <w:t>8</w:t>
      </w:r>
      <w:r>
        <w:rPr>
          <w:rFonts w:hint="eastAsia" w:ascii="宋体" w:hAnsi="宋体"/>
          <w:sz w:val="24"/>
        </w:rPr>
        <w:t>）如果卖方在收到通知后，在合同中所附服务承诺约定的时间内没有弥补缺陷，买方可采取必要的补救措施，但风险和费用将由卖方承担。</w:t>
      </w:r>
    </w:p>
    <w:p w14:paraId="673C43A3">
      <w:pPr>
        <w:spacing w:line="400" w:lineRule="exact"/>
        <w:ind w:firstLine="360" w:firstLineChars="150"/>
        <w:jc w:val="left"/>
        <w:rPr>
          <w:rFonts w:ascii="宋体"/>
          <w:sz w:val="24"/>
        </w:rPr>
      </w:pPr>
      <w:r>
        <w:rPr>
          <w:rFonts w:hint="eastAsia" w:ascii="宋体" w:hAnsi="宋体"/>
          <w:sz w:val="24"/>
        </w:rPr>
        <w:t>（</w:t>
      </w:r>
      <w:r>
        <w:rPr>
          <w:rFonts w:ascii="宋体" w:hAnsi="宋体"/>
          <w:sz w:val="24"/>
        </w:rPr>
        <w:t>9</w:t>
      </w:r>
      <w:r>
        <w:rPr>
          <w:rFonts w:hint="eastAsia" w:ascii="宋体" w:hAnsi="宋体"/>
          <w:sz w:val="24"/>
        </w:rPr>
        <w:t>）履行本合同的过程中，确因在现有水平和条件下难以克服的技术困难，导致部分或全部失败所造成的损失，风险责任由卖方全部承担。达不到项目规定的技术指标，卖方应当承担违约责任。承担方式和违约金额如下：每超期</w:t>
      </w:r>
      <w:r>
        <w:rPr>
          <w:rFonts w:ascii="宋体" w:hAnsi="宋体"/>
          <w:sz w:val="24"/>
        </w:rPr>
        <w:t>10</w:t>
      </w:r>
      <w:r>
        <w:rPr>
          <w:rFonts w:hint="eastAsia" w:ascii="宋体" w:hAnsi="宋体"/>
          <w:sz w:val="24"/>
        </w:rPr>
        <w:t>天，扣合同金额的</w:t>
      </w:r>
      <w:r>
        <w:rPr>
          <w:rFonts w:ascii="宋体" w:hAnsi="宋体"/>
          <w:sz w:val="24"/>
        </w:rPr>
        <w:t>3</w:t>
      </w:r>
      <w:r>
        <w:rPr>
          <w:rFonts w:hint="eastAsia" w:ascii="宋体" w:hAnsi="宋体"/>
          <w:sz w:val="24"/>
        </w:rPr>
        <w:t>％：累计超期</w:t>
      </w:r>
      <w:r>
        <w:rPr>
          <w:rFonts w:ascii="宋体" w:hAnsi="宋体"/>
          <w:sz w:val="24"/>
        </w:rPr>
        <w:t>30</w:t>
      </w:r>
      <w:r>
        <w:rPr>
          <w:rFonts w:hint="eastAsia" w:ascii="宋体" w:hAnsi="宋体"/>
          <w:sz w:val="24"/>
        </w:rPr>
        <w:t>天，买方有权终止执行合同，并没收履约保证金。</w:t>
      </w:r>
    </w:p>
    <w:p w14:paraId="6F3AB74C">
      <w:pPr>
        <w:spacing w:line="400" w:lineRule="exact"/>
        <w:jc w:val="left"/>
        <w:rPr>
          <w:rFonts w:ascii="宋体"/>
          <w:b/>
          <w:bCs/>
          <w:sz w:val="24"/>
        </w:rPr>
      </w:pPr>
      <w:r>
        <w:rPr>
          <w:rFonts w:ascii="宋体" w:hAnsi="宋体"/>
          <w:b/>
          <w:bCs/>
          <w:sz w:val="24"/>
        </w:rPr>
        <w:t>10</w:t>
      </w:r>
      <w:r>
        <w:rPr>
          <w:rFonts w:hint="eastAsia" w:ascii="宋体" w:hAnsi="宋体"/>
          <w:b/>
          <w:bCs/>
          <w:sz w:val="24"/>
        </w:rPr>
        <w:t>、违约责任</w:t>
      </w:r>
    </w:p>
    <w:p w14:paraId="7840D797">
      <w:pPr>
        <w:spacing w:line="400" w:lineRule="exact"/>
        <w:ind w:firstLine="360" w:firstLineChars="150"/>
        <w:jc w:val="left"/>
        <w:rPr>
          <w:rFonts w:ascii="宋体"/>
          <w:sz w:val="24"/>
        </w:rPr>
      </w:pPr>
      <w:r>
        <w:rPr>
          <w:rFonts w:hint="eastAsia" w:ascii="宋体" w:hAnsi="宋体"/>
          <w:bCs/>
          <w:sz w:val="24"/>
        </w:rPr>
        <w:t>（一）质量瑕疵与索赔</w:t>
      </w:r>
    </w:p>
    <w:p w14:paraId="135974D9">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）买方有权根据质检部门或权威检测机构出具的检验、检测报告，向卖方提出索赔。</w:t>
      </w:r>
    </w:p>
    <w:p w14:paraId="4F0745B5">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）根据合同规定的检验期和质量保证期内，如果卖方对买方提出的索赔和差异负有责任，卖方应按照买方同意的下列一种或多种方式解决索赔事宜：</w:t>
      </w:r>
    </w:p>
    <w:p w14:paraId="11D4F49E">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1 \* GB3 </w:instrText>
      </w:r>
      <w:r>
        <w:rPr>
          <w:rFonts w:ascii="宋体" w:hAnsi="宋体"/>
          <w:sz w:val="24"/>
        </w:rPr>
        <w:fldChar w:fldCharType="separate"/>
      </w:r>
      <w:r>
        <w:rPr>
          <w:rFonts w:hint="eastAsia" w:ascii="宋体" w:hAnsi="宋体"/>
          <w:sz w:val="24"/>
        </w:rPr>
        <w:t>①</w:t>
      </w:r>
      <w:r>
        <w:rPr>
          <w:rFonts w:ascii="宋体" w:hAnsi="宋体"/>
          <w:sz w:val="24"/>
        </w:rPr>
        <w:fldChar w:fldCharType="end"/>
      </w:r>
      <w:r>
        <w:rPr>
          <w:rFonts w:hint="eastAsia" w:ascii="宋体" w:hAnsi="宋体"/>
          <w:sz w:val="24"/>
        </w:rPr>
        <w:t>卖方同意退货，并用合同中规定的货币将货款退还给买方，并承担由此发生的一切损失和费用，包括利息、银行手续费、运费、保险费、检验费、仓储费、装卸费以及为保护退回货物所需的其它必要费用；</w:t>
      </w:r>
    </w:p>
    <w:p w14:paraId="67BC7C7F">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2 \* GB3 </w:instrText>
      </w:r>
      <w:r>
        <w:rPr>
          <w:rFonts w:ascii="宋体" w:hAnsi="宋体"/>
          <w:sz w:val="24"/>
        </w:rPr>
        <w:fldChar w:fldCharType="separate"/>
      </w:r>
      <w:r>
        <w:rPr>
          <w:rFonts w:hint="eastAsia" w:ascii="宋体" w:hAnsi="宋体"/>
          <w:sz w:val="24"/>
        </w:rPr>
        <w:t>②</w:t>
      </w:r>
      <w:r>
        <w:rPr>
          <w:rFonts w:ascii="宋体" w:hAnsi="宋体"/>
          <w:sz w:val="24"/>
        </w:rPr>
        <w:fldChar w:fldCharType="end"/>
      </w:r>
      <w:r>
        <w:rPr>
          <w:rFonts w:hint="eastAsia" w:ascii="宋体" w:hAnsi="宋体"/>
          <w:sz w:val="24"/>
        </w:rPr>
        <w:t>根据货物的低劣程度、损坏程度以及买方所遭受损失的数额，卖方必须降低货物的价格；</w:t>
      </w:r>
    </w:p>
    <w:p w14:paraId="0A1DBFB0">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3 \* GB3 </w:instrText>
      </w:r>
      <w:r>
        <w:rPr>
          <w:rFonts w:ascii="宋体" w:hAnsi="宋体"/>
          <w:sz w:val="24"/>
        </w:rPr>
        <w:fldChar w:fldCharType="separate"/>
      </w:r>
      <w:r>
        <w:rPr>
          <w:rFonts w:hint="eastAsia" w:ascii="宋体" w:hAnsi="宋体"/>
          <w:sz w:val="24"/>
        </w:rPr>
        <w:t>③</w:t>
      </w:r>
      <w:r>
        <w:rPr>
          <w:rFonts w:ascii="宋体" w:hAnsi="宋体"/>
          <w:sz w:val="24"/>
        </w:rPr>
        <w:fldChar w:fldCharType="end"/>
      </w:r>
      <w:r>
        <w:rPr>
          <w:rFonts w:hint="eastAsia" w:ascii="宋体" w:hAnsi="宋体"/>
          <w:sz w:val="24"/>
        </w:rPr>
        <w:t>用符合合同规定的规格、质量和性能要求的新货物、部件或设备来更换有缺陷的部分，卖方应承担一切费用和风险并负担买方所蒙受的全部直接损失费用。同时，卖方应按合同规定，对更换件相应延长质量保证期。</w:t>
      </w:r>
    </w:p>
    <w:p w14:paraId="3CC52F23">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）如果在买方发出索赔通知后</w:t>
      </w:r>
      <w:r>
        <w:rPr>
          <w:rFonts w:ascii="宋体" w:hAnsi="宋体"/>
          <w:sz w:val="24"/>
        </w:rPr>
        <w:t>10</w:t>
      </w:r>
      <w:r>
        <w:rPr>
          <w:rFonts w:hint="eastAsia" w:ascii="宋体" w:hAnsi="宋体"/>
          <w:sz w:val="24"/>
        </w:rPr>
        <w:t>天内，卖方未作答复，上述索赔应视为已被卖方接受，如卖方未能在买方提出索赔通知后</w:t>
      </w:r>
      <w:r>
        <w:rPr>
          <w:rFonts w:ascii="宋体" w:hAnsi="宋体"/>
          <w:sz w:val="24"/>
        </w:rPr>
        <w:t>10</w:t>
      </w:r>
      <w:r>
        <w:rPr>
          <w:rFonts w:hint="eastAsia" w:ascii="宋体" w:hAnsi="宋体"/>
          <w:sz w:val="24"/>
        </w:rPr>
        <w:t>天内或买方同意的更长时间内，按照本合同规定的任何一种方法解决索赔事宜，买方将从卖方开具的履约保证金中扣回索赔金额，或采用法律手段解决索赔事宜。</w:t>
      </w:r>
    </w:p>
    <w:p w14:paraId="1F4E780A">
      <w:pPr>
        <w:spacing w:line="400" w:lineRule="exact"/>
        <w:ind w:firstLine="360" w:firstLineChars="150"/>
        <w:jc w:val="left"/>
        <w:rPr>
          <w:rFonts w:ascii="宋体"/>
          <w:sz w:val="24"/>
        </w:rPr>
      </w:pPr>
      <w:r>
        <w:rPr>
          <w:rFonts w:hint="eastAsia" w:ascii="宋体" w:hAnsi="宋体"/>
          <w:bCs/>
          <w:sz w:val="24"/>
        </w:rPr>
        <w:t>（二）履约延误与赔偿</w:t>
      </w:r>
    </w:p>
    <w:p w14:paraId="3C553FDA">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）卖方应按合同规定的交货期交货和提供服务，并交付买方验收使用。</w:t>
      </w:r>
    </w:p>
    <w:p w14:paraId="665EF107">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）如果卖方无正当理由拖延交货和提供规定的服务，将受到以下制裁：没收履约保证金，加收误期赔偿或终止合同。</w:t>
      </w:r>
    </w:p>
    <w:p w14:paraId="3A60E2BD">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在履行合同过程中，如果卖方遇到不能按时交货和提供服务的情况，应及时以书面形式将不能按时交货的理由、可能延误的时间同时通知买方和见证方（如有）。买方在收到卖方通知后，应对情况进行分析，决定是否修改合同、酌情延长交货时间或终止合同。</w:t>
      </w:r>
    </w:p>
    <w:p w14:paraId="79375109">
      <w:pPr>
        <w:spacing w:line="400" w:lineRule="exact"/>
        <w:ind w:firstLine="360" w:firstLineChars="150"/>
        <w:jc w:val="left"/>
        <w:rPr>
          <w:rFonts w:ascii="宋体"/>
          <w:sz w:val="24"/>
        </w:rPr>
      </w:pPr>
      <w:r>
        <w:rPr>
          <w:rFonts w:hint="eastAsia" w:ascii="宋体" w:hAnsi="宋体"/>
          <w:bCs/>
          <w:sz w:val="24"/>
        </w:rPr>
        <w:t>（</w:t>
      </w:r>
      <w:r>
        <w:rPr>
          <w:rFonts w:ascii="宋体" w:hAnsi="宋体"/>
          <w:bCs/>
          <w:sz w:val="24"/>
        </w:rPr>
        <w:t>4</w:t>
      </w:r>
      <w:r>
        <w:rPr>
          <w:rFonts w:hint="eastAsia" w:ascii="宋体" w:hAnsi="宋体"/>
          <w:bCs/>
          <w:sz w:val="24"/>
        </w:rPr>
        <w:t>）</w:t>
      </w:r>
      <w:r>
        <w:rPr>
          <w:rFonts w:hint="eastAsia" w:ascii="宋体" w:hAnsi="宋体"/>
          <w:sz w:val="24"/>
        </w:rPr>
        <w:t>除合同条款第</w:t>
      </w:r>
      <w:r>
        <w:rPr>
          <w:rFonts w:ascii="宋体" w:hAnsi="宋体"/>
          <w:sz w:val="24"/>
        </w:rPr>
        <w:t>11</w:t>
      </w:r>
      <w:r>
        <w:rPr>
          <w:rFonts w:hint="eastAsia" w:ascii="宋体" w:hAnsi="宋体"/>
          <w:sz w:val="24"/>
        </w:rPr>
        <w:t>条规定外，如果卖方没有按照合同规定的时间交货和提供服务，买方将从货款中扣除误期赔偿费而不影响合同项下的其他补救方法，赔偿费按迟交货物或未提供服务每天计收</w:t>
      </w:r>
      <w:r>
        <w:rPr>
          <w:rFonts w:ascii="宋体" w:hAnsi="宋体"/>
          <w:sz w:val="24"/>
        </w:rPr>
        <w:t>0.3</w:t>
      </w:r>
      <w:r>
        <w:rPr>
          <w:rFonts w:hint="eastAsia" w:ascii="宋体" w:hAnsi="宋体"/>
          <w:sz w:val="24"/>
        </w:rPr>
        <w:t>％合同总额，直至交货或提供服务为止。但误期赔偿费的最高限额为误期货物或总合同价的</w:t>
      </w:r>
      <w:r>
        <w:rPr>
          <w:rFonts w:ascii="宋体" w:hAnsi="宋体"/>
          <w:sz w:val="24"/>
        </w:rPr>
        <w:t>5</w:t>
      </w:r>
      <w:r>
        <w:rPr>
          <w:rFonts w:hint="eastAsia" w:ascii="宋体" w:hAnsi="宋体"/>
          <w:sz w:val="24"/>
        </w:rPr>
        <w:t>％。一旦达到误期赔偿的最高限额，买方可考虑终止合同。</w:t>
      </w:r>
    </w:p>
    <w:p w14:paraId="20E90B53">
      <w:pPr>
        <w:spacing w:line="400" w:lineRule="exact"/>
        <w:jc w:val="left"/>
        <w:rPr>
          <w:rFonts w:ascii="宋体"/>
          <w:sz w:val="24"/>
        </w:rPr>
      </w:pPr>
      <w:r>
        <w:rPr>
          <w:rFonts w:ascii="宋体" w:hAnsi="宋体"/>
          <w:b/>
          <w:bCs/>
          <w:sz w:val="24"/>
        </w:rPr>
        <w:t>11</w:t>
      </w:r>
      <w:r>
        <w:rPr>
          <w:rFonts w:hint="eastAsia" w:ascii="宋体" w:hAnsi="宋体"/>
          <w:b/>
          <w:bCs/>
          <w:sz w:val="24"/>
        </w:rPr>
        <w:t>、不可抗力</w:t>
      </w:r>
    </w:p>
    <w:p w14:paraId="64ED0C81">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）如果卖方因不可抗力而导致合同实施延误或不能履行合同义务的话，不应该被没收履约保证金，也不应该承担误期赔偿的责任。</w:t>
      </w:r>
    </w:p>
    <w:p w14:paraId="3568DF5E">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）本条所述的“不可抗力”系指那些卖方无法控制、不可预见的事件，但不包括卖方的违约或疏忽。这些事件包括：战争、严重火灾、洪水、台风、地震以及其它买方和卖方商定的事件。</w:t>
      </w:r>
    </w:p>
    <w:p w14:paraId="4CE613A2">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时间持续</w:t>
      </w:r>
      <w:r>
        <w:rPr>
          <w:rFonts w:ascii="宋体" w:hAnsi="宋体"/>
          <w:sz w:val="24"/>
        </w:rPr>
        <w:t>30</w:t>
      </w:r>
      <w:r>
        <w:rPr>
          <w:rFonts w:hint="eastAsia" w:ascii="宋体" w:hAnsi="宋体"/>
          <w:sz w:val="24"/>
        </w:rPr>
        <w:t>天以上时，买方有权终止与卖方的合同，买方也可以和卖方通过友好协商在合理的时间内达成进一步履行合同的协议。</w:t>
      </w:r>
    </w:p>
    <w:p w14:paraId="3C4E0351">
      <w:pPr>
        <w:spacing w:line="400" w:lineRule="exact"/>
        <w:jc w:val="left"/>
        <w:rPr>
          <w:rFonts w:ascii="宋体"/>
          <w:sz w:val="24"/>
        </w:rPr>
      </w:pPr>
      <w:r>
        <w:rPr>
          <w:rFonts w:ascii="宋体" w:hAnsi="宋体"/>
          <w:b/>
          <w:bCs/>
          <w:sz w:val="24"/>
        </w:rPr>
        <w:t>12</w:t>
      </w:r>
      <w:r>
        <w:rPr>
          <w:rFonts w:hint="eastAsia" w:ascii="宋体" w:hAnsi="宋体"/>
          <w:b/>
          <w:bCs/>
          <w:sz w:val="24"/>
        </w:rPr>
        <w:t>、税费</w:t>
      </w:r>
    </w:p>
    <w:p w14:paraId="3D66419F">
      <w:pPr>
        <w:spacing w:line="400" w:lineRule="exact"/>
        <w:ind w:firstLine="360" w:firstLineChars="150"/>
        <w:jc w:val="left"/>
        <w:rPr>
          <w:rFonts w:ascii="宋体"/>
          <w:sz w:val="24"/>
        </w:rPr>
      </w:pPr>
      <w:r>
        <w:rPr>
          <w:rFonts w:hint="eastAsia" w:ascii="宋体" w:hAnsi="宋体"/>
          <w:sz w:val="24"/>
        </w:rPr>
        <w:t>本项目交付买方验收合格前发生的一切税费均由卖方负担。</w:t>
      </w:r>
    </w:p>
    <w:p w14:paraId="74996927">
      <w:pPr>
        <w:spacing w:line="400" w:lineRule="exact"/>
        <w:jc w:val="left"/>
        <w:rPr>
          <w:rFonts w:ascii="宋体"/>
          <w:sz w:val="24"/>
        </w:rPr>
      </w:pPr>
      <w:r>
        <w:rPr>
          <w:rFonts w:ascii="宋体" w:hAnsi="宋体"/>
          <w:b/>
          <w:bCs/>
          <w:sz w:val="24"/>
        </w:rPr>
        <w:t>13</w:t>
      </w:r>
      <w:r>
        <w:rPr>
          <w:rFonts w:hint="eastAsia" w:ascii="宋体" w:hAnsi="宋体"/>
          <w:b/>
          <w:bCs/>
          <w:sz w:val="24"/>
        </w:rPr>
        <w:t>、履约保证金</w:t>
      </w:r>
    </w:p>
    <w:p w14:paraId="7AACF7C1">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）在签署本合同之前，卖方应提交一笔履约保证金（见合同专用条款），</w:t>
      </w:r>
      <w:r>
        <w:rPr>
          <w:rFonts w:hint="eastAsia" w:ascii="宋体" w:hAnsi="宋体"/>
          <w:bCs/>
          <w:sz w:val="24"/>
        </w:rPr>
        <w:t>履约保证金在按本合同规定验收合格后</w:t>
      </w:r>
      <w:r>
        <w:rPr>
          <w:rFonts w:ascii="宋体" w:hAnsi="宋体"/>
          <w:bCs/>
          <w:sz w:val="24"/>
        </w:rPr>
        <w:t>15</w:t>
      </w:r>
      <w:r>
        <w:rPr>
          <w:rFonts w:hint="eastAsia" w:ascii="宋体" w:hAnsi="宋体"/>
          <w:bCs/>
          <w:sz w:val="24"/>
        </w:rPr>
        <w:t>日内退还给卖方。</w:t>
      </w:r>
    </w:p>
    <w:p w14:paraId="0F62047E">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）履约保证金可以采用支票或者甲方认可的银行出具的履约保函。卖方提交履约保证金所需的有关费用均由其自行负担。</w:t>
      </w:r>
    </w:p>
    <w:p w14:paraId="51A69BA6">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）如卖方未能履行合同规定的义务，买方有权从履约保证金中取得补偿。</w:t>
      </w:r>
    </w:p>
    <w:p w14:paraId="1335273E">
      <w:pPr>
        <w:spacing w:line="400" w:lineRule="exact"/>
        <w:jc w:val="left"/>
        <w:rPr>
          <w:rFonts w:ascii="宋体"/>
          <w:sz w:val="24"/>
        </w:rPr>
      </w:pPr>
      <w:r>
        <w:rPr>
          <w:rFonts w:ascii="宋体" w:hAnsi="宋体"/>
          <w:b/>
          <w:bCs/>
          <w:sz w:val="24"/>
        </w:rPr>
        <w:t>14</w:t>
      </w:r>
      <w:r>
        <w:rPr>
          <w:rFonts w:hint="eastAsia" w:ascii="宋体" w:hAnsi="宋体"/>
          <w:b/>
          <w:bCs/>
          <w:sz w:val="24"/>
        </w:rPr>
        <w:t>、合同变更、解除或终止</w:t>
      </w:r>
    </w:p>
    <w:p w14:paraId="31501AB9">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）在采购合同履行中，买方需要追加与合同标的相同的货物或者服务的，在不改变合同其他条款的前提下，可以与卖方签订补充合同，但所有补充合同的采购金额不得超过原合同金额的</w:t>
      </w:r>
      <w:r>
        <w:rPr>
          <w:rFonts w:ascii="宋体" w:hAnsi="宋体"/>
          <w:sz w:val="24"/>
        </w:rPr>
        <w:t>10%</w:t>
      </w:r>
      <w:r>
        <w:rPr>
          <w:rFonts w:hint="eastAsia" w:ascii="宋体" w:hAnsi="宋体"/>
          <w:sz w:val="24"/>
        </w:rPr>
        <w:t>。</w:t>
      </w:r>
    </w:p>
    <w:p w14:paraId="4B5F9F0D">
      <w:pPr>
        <w:spacing w:line="400" w:lineRule="exact"/>
        <w:ind w:firstLine="360" w:firstLineChars="150"/>
        <w:jc w:val="left"/>
        <w:rPr>
          <w:rFonts w:ascii="宋体"/>
          <w:sz w:val="24"/>
        </w:rPr>
      </w:pPr>
      <w:r>
        <w:rPr>
          <w:rFonts w:hint="eastAsia" w:ascii="宋体" w:hAnsi="宋体"/>
          <w:sz w:val="24"/>
        </w:rPr>
        <w:t>（</w:t>
      </w:r>
      <w:r>
        <w:rPr>
          <w:rFonts w:ascii="宋体" w:hAnsi="宋体"/>
          <w:sz w:val="24"/>
        </w:rPr>
        <w:t>2</w:t>
      </w:r>
      <w:r>
        <w:rPr>
          <w:rFonts w:hint="eastAsia" w:ascii="宋体" w:hAnsi="宋体"/>
          <w:sz w:val="24"/>
        </w:rPr>
        <w:t>）双方当事人不得擅自变更、中止或终止合同。如确需修改或补充合同内容，应经买方、卖方、政府采购管理部门协商一致，签署书面修改或补充协议。该协议将作为本合同不可分割的一部分。</w:t>
      </w:r>
    </w:p>
    <w:p w14:paraId="30EC6273">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）合同继续履行将损害国家和社会公共利益的，应当解除合同。</w:t>
      </w:r>
    </w:p>
    <w:p w14:paraId="03A275BD">
      <w:pPr>
        <w:spacing w:line="400" w:lineRule="exact"/>
        <w:ind w:firstLine="360" w:firstLineChars="150"/>
        <w:jc w:val="left"/>
        <w:rPr>
          <w:rFonts w:ascii="宋体"/>
          <w:sz w:val="24"/>
        </w:rPr>
      </w:pPr>
      <w:r>
        <w:rPr>
          <w:rFonts w:hint="eastAsia" w:ascii="宋体" w:hAnsi="宋体"/>
          <w:sz w:val="24"/>
        </w:rPr>
        <w:t>（</w:t>
      </w:r>
      <w:r>
        <w:rPr>
          <w:rFonts w:ascii="宋体" w:hAnsi="宋体"/>
          <w:sz w:val="24"/>
        </w:rPr>
        <w:t>4</w:t>
      </w:r>
      <w:r>
        <w:rPr>
          <w:rFonts w:hint="eastAsia" w:ascii="宋体" w:hAnsi="宋体"/>
          <w:sz w:val="24"/>
        </w:rPr>
        <w:t>）在买方对卖方违约而采取的任何补救措施不受影响的情况下，买方可在下列情况本下向卖方发出书面通知书，提出终止部分或全部合同：</w:t>
      </w:r>
    </w:p>
    <w:p w14:paraId="0BA9028F">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1 \* GB3 </w:instrText>
      </w:r>
      <w:r>
        <w:rPr>
          <w:rFonts w:ascii="宋体" w:hAnsi="宋体"/>
          <w:sz w:val="24"/>
        </w:rPr>
        <w:fldChar w:fldCharType="separate"/>
      </w:r>
      <w:r>
        <w:rPr>
          <w:rFonts w:hint="eastAsia" w:ascii="宋体" w:hAnsi="宋体"/>
          <w:sz w:val="24"/>
        </w:rPr>
        <w:t>①</w:t>
      </w:r>
      <w:r>
        <w:rPr>
          <w:rFonts w:ascii="宋体" w:hAnsi="宋体"/>
          <w:sz w:val="24"/>
        </w:rPr>
        <w:fldChar w:fldCharType="end"/>
      </w:r>
      <w:r>
        <w:rPr>
          <w:rFonts w:hint="eastAsia" w:ascii="宋体" w:hAnsi="宋体"/>
          <w:sz w:val="24"/>
        </w:rPr>
        <w:t>如果卖方未能按合同规定的期限或买方同意延长的限期内提供部分或全部货物；</w:t>
      </w:r>
    </w:p>
    <w:p w14:paraId="359AF6C8">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2 \* GB3 </w:instrText>
      </w:r>
      <w:r>
        <w:rPr>
          <w:rFonts w:ascii="宋体" w:hAnsi="宋体"/>
          <w:sz w:val="24"/>
        </w:rPr>
        <w:fldChar w:fldCharType="separate"/>
      </w:r>
      <w:r>
        <w:rPr>
          <w:rFonts w:hint="eastAsia" w:ascii="宋体" w:hAnsi="宋体"/>
          <w:sz w:val="24"/>
        </w:rPr>
        <w:t>②</w:t>
      </w:r>
      <w:r>
        <w:rPr>
          <w:rFonts w:ascii="宋体" w:hAnsi="宋体"/>
          <w:sz w:val="24"/>
        </w:rPr>
        <w:fldChar w:fldCharType="end"/>
      </w:r>
      <w:r>
        <w:rPr>
          <w:rFonts w:hint="eastAsia" w:ascii="宋体" w:hAnsi="宋体"/>
          <w:sz w:val="24"/>
        </w:rPr>
        <w:t>卖方在收到买方发出的违约通知后</w:t>
      </w:r>
      <w:r>
        <w:rPr>
          <w:rFonts w:ascii="宋体" w:hAnsi="宋体"/>
          <w:sz w:val="24"/>
        </w:rPr>
        <w:t>20</w:t>
      </w:r>
      <w:r>
        <w:rPr>
          <w:rFonts w:hint="eastAsia" w:ascii="宋体" w:hAnsi="宋体"/>
          <w:sz w:val="24"/>
        </w:rPr>
        <w:t>天内，或经买方书面认可延长的时间内未能纠正其过失；</w:t>
      </w:r>
    </w:p>
    <w:p w14:paraId="26D951F9">
      <w:pPr>
        <w:spacing w:line="400" w:lineRule="exact"/>
        <w:ind w:firstLine="480" w:firstLineChars="200"/>
        <w:jc w:val="left"/>
        <w:rPr>
          <w:rFonts w:ascii="宋体"/>
          <w:sz w:val="24"/>
        </w:rPr>
      </w:pPr>
      <w:r>
        <w:rPr>
          <w:rFonts w:ascii="宋体" w:hAnsi="宋体"/>
          <w:sz w:val="24"/>
        </w:rPr>
        <w:fldChar w:fldCharType="begin"/>
      </w:r>
      <w:r>
        <w:rPr>
          <w:rFonts w:ascii="宋体" w:hAnsi="宋体"/>
          <w:sz w:val="24"/>
        </w:rPr>
        <w:instrText xml:space="preserve"> = 3 \* GB3 </w:instrText>
      </w:r>
      <w:r>
        <w:rPr>
          <w:rFonts w:ascii="宋体" w:hAnsi="宋体"/>
          <w:sz w:val="24"/>
        </w:rPr>
        <w:fldChar w:fldCharType="separate"/>
      </w:r>
      <w:r>
        <w:rPr>
          <w:rFonts w:hint="eastAsia" w:ascii="宋体" w:hAnsi="宋体"/>
          <w:sz w:val="24"/>
        </w:rPr>
        <w:t>③</w:t>
      </w:r>
      <w:r>
        <w:rPr>
          <w:rFonts w:ascii="宋体" w:hAnsi="宋体"/>
          <w:sz w:val="24"/>
        </w:rPr>
        <w:fldChar w:fldCharType="end"/>
      </w:r>
      <w:r>
        <w:rPr>
          <w:rFonts w:hint="eastAsia" w:ascii="宋体" w:hAnsi="宋体"/>
          <w:sz w:val="24"/>
        </w:rPr>
        <w:t>如果卖方未能履行合同规定的其他义务。</w:t>
      </w:r>
    </w:p>
    <w:p w14:paraId="0A763CB2">
      <w:pPr>
        <w:spacing w:line="400" w:lineRule="exact"/>
        <w:ind w:firstLine="360" w:firstLineChars="150"/>
        <w:jc w:val="left"/>
        <w:rPr>
          <w:rFonts w:ascii="宋体"/>
          <w:sz w:val="24"/>
        </w:rPr>
      </w:pPr>
      <w:r>
        <w:rPr>
          <w:rFonts w:hint="eastAsia" w:ascii="宋体" w:hAnsi="宋体"/>
          <w:sz w:val="24"/>
        </w:rPr>
        <w:t>（</w:t>
      </w:r>
      <w:r>
        <w:rPr>
          <w:rFonts w:ascii="宋体" w:hAnsi="宋体"/>
          <w:sz w:val="24"/>
        </w:rPr>
        <w:t>5</w:t>
      </w:r>
      <w:r>
        <w:rPr>
          <w:rFonts w:hint="eastAsia" w:ascii="宋体" w:hAnsi="宋体"/>
          <w:sz w:val="24"/>
        </w:rPr>
        <w:t>）在买方根据上述规定，终止了全部或部分合同后，买方可以依其认为适当的条件和方法购买与未交货物类似的货物，卖方应对买方购买类似货物所超出的那部分费用负责。但是，卖方应继续执行合同中未终止的部分。</w:t>
      </w:r>
    </w:p>
    <w:p w14:paraId="59468716">
      <w:pPr>
        <w:spacing w:line="400" w:lineRule="exact"/>
        <w:ind w:firstLine="360" w:firstLineChars="150"/>
        <w:jc w:val="left"/>
        <w:rPr>
          <w:rFonts w:ascii="宋体"/>
          <w:sz w:val="24"/>
        </w:rPr>
      </w:pPr>
      <w:r>
        <w:rPr>
          <w:rFonts w:hint="eastAsia" w:ascii="宋体" w:hAnsi="宋体"/>
          <w:sz w:val="24"/>
        </w:rPr>
        <w:t>（</w:t>
      </w:r>
      <w:r>
        <w:rPr>
          <w:rFonts w:ascii="宋体" w:hAnsi="宋体"/>
          <w:sz w:val="24"/>
        </w:rPr>
        <w:t>6</w:t>
      </w:r>
      <w:r>
        <w:rPr>
          <w:rFonts w:hint="eastAsia" w:ascii="宋体" w:hAnsi="宋体"/>
          <w:sz w:val="24"/>
        </w:rPr>
        <w:t>）如果卖方破产或无清偿能力时，买方在任何时候书面通知卖方中止合同而不给卖方补偿。该中止合同将不损害或影响买方已经或将要采取的补救措施的权利。</w:t>
      </w:r>
    </w:p>
    <w:p w14:paraId="2B690AE6">
      <w:pPr>
        <w:spacing w:line="400" w:lineRule="exact"/>
        <w:jc w:val="left"/>
        <w:rPr>
          <w:rFonts w:ascii="宋体"/>
          <w:sz w:val="24"/>
        </w:rPr>
      </w:pPr>
      <w:r>
        <w:rPr>
          <w:rFonts w:ascii="宋体" w:hAnsi="宋体"/>
          <w:b/>
          <w:bCs/>
          <w:sz w:val="24"/>
        </w:rPr>
        <w:t>15</w:t>
      </w:r>
      <w:r>
        <w:rPr>
          <w:rFonts w:hint="eastAsia" w:ascii="宋体" w:hAnsi="宋体"/>
          <w:b/>
          <w:bCs/>
          <w:sz w:val="24"/>
        </w:rPr>
        <w:t>、合同转让或分包</w:t>
      </w:r>
    </w:p>
    <w:p w14:paraId="7ED3C735">
      <w:pPr>
        <w:spacing w:line="400" w:lineRule="exact"/>
        <w:ind w:firstLine="480" w:firstLineChars="200"/>
        <w:jc w:val="left"/>
        <w:rPr>
          <w:rFonts w:ascii="宋体"/>
          <w:sz w:val="24"/>
        </w:rPr>
      </w:pPr>
      <w:r>
        <w:rPr>
          <w:rFonts w:hint="eastAsia" w:ascii="宋体" w:hAnsi="宋体"/>
          <w:sz w:val="24"/>
        </w:rPr>
        <w:t>除买方事先书面同意外，卖方不得部分转让或全部转让其应履行的合同义务。</w:t>
      </w:r>
    </w:p>
    <w:p w14:paraId="6B29428F">
      <w:pPr>
        <w:spacing w:line="400" w:lineRule="exact"/>
        <w:jc w:val="left"/>
        <w:rPr>
          <w:rFonts w:ascii="宋体"/>
          <w:sz w:val="24"/>
        </w:rPr>
      </w:pPr>
      <w:r>
        <w:rPr>
          <w:rFonts w:ascii="宋体" w:hAnsi="宋体"/>
          <w:b/>
          <w:bCs/>
          <w:sz w:val="24"/>
        </w:rPr>
        <w:t>16</w:t>
      </w:r>
      <w:r>
        <w:rPr>
          <w:rFonts w:hint="eastAsia" w:ascii="宋体" w:hAnsi="宋体"/>
          <w:b/>
          <w:bCs/>
          <w:sz w:val="24"/>
        </w:rPr>
        <w:t>、争端的解决</w:t>
      </w:r>
    </w:p>
    <w:p w14:paraId="1FEA15DF">
      <w:pPr>
        <w:spacing w:line="400" w:lineRule="exact"/>
        <w:ind w:firstLine="480" w:firstLineChars="200"/>
        <w:jc w:val="left"/>
        <w:rPr>
          <w:rFonts w:ascii="宋体"/>
          <w:b/>
          <w:bCs/>
          <w:sz w:val="24"/>
        </w:rPr>
      </w:pPr>
      <w:r>
        <w:rPr>
          <w:rFonts w:hint="eastAsia" w:ascii="宋体" w:hAnsi="宋体"/>
          <w:sz w:val="24"/>
        </w:rPr>
        <w:t>本合同签订后所发生的经济纠纷，按照《中华人民共和国民法典》，由买卖双方友好协商解决；协商不成需要诉讼的，在买方所在地人民法院管辖。</w:t>
      </w:r>
    </w:p>
    <w:p w14:paraId="7E856DBD">
      <w:pPr>
        <w:spacing w:line="400" w:lineRule="exact"/>
        <w:jc w:val="left"/>
        <w:rPr>
          <w:rFonts w:ascii="宋体"/>
          <w:sz w:val="24"/>
        </w:rPr>
      </w:pPr>
      <w:r>
        <w:rPr>
          <w:rFonts w:ascii="宋体" w:hAnsi="宋体"/>
          <w:b/>
          <w:bCs/>
          <w:sz w:val="24"/>
        </w:rPr>
        <w:t>17</w:t>
      </w:r>
      <w:r>
        <w:rPr>
          <w:rFonts w:hint="eastAsia" w:ascii="宋体" w:hAnsi="宋体"/>
          <w:b/>
          <w:bCs/>
          <w:sz w:val="24"/>
        </w:rPr>
        <w:t>、合同生效</w:t>
      </w:r>
    </w:p>
    <w:p w14:paraId="5F40D1DD">
      <w:pPr>
        <w:spacing w:line="400" w:lineRule="exact"/>
        <w:ind w:firstLine="360" w:firstLineChars="150"/>
        <w:jc w:val="left"/>
        <w:rPr>
          <w:rFonts w:ascii="宋体"/>
          <w:sz w:val="24"/>
        </w:rPr>
      </w:pPr>
      <w:r>
        <w:rPr>
          <w:rFonts w:hint="eastAsia" w:ascii="宋体" w:hAnsi="宋体"/>
          <w:sz w:val="24"/>
        </w:rPr>
        <w:t>（</w:t>
      </w:r>
      <w:r>
        <w:rPr>
          <w:rFonts w:ascii="宋体" w:hAnsi="宋体"/>
          <w:sz w:val="24"/>
        </w:rPr>
        <w:t>1</w:t>
      </w:r>
      <w:r>
        <w:rPr>
          <w:rFonts w:hint="eastAsia" w:ascii="宋体" w:hAnsi="宋体"/>
          <w:sz w:val="24"/>
        </w:rPr>
        <w:t>）合同应在买方、卖方签字，并在卖方交纳履约保证金（如约定）后生效。</w:t>
      </w:r>
    </w:p>
    <w:p w14:paraId="36D39A31">
      <w:pPr>
        <w:spacing w:line="400" w:lineRule="exact"/>
        <w:ind w:firstLine="360" w:firstLineChars="150"/>
        <w:jc w:val="left"/>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）本合同至少一式三份，买卖双方各执一份，一份送江苏中兴迅达工程管理咨询有限公司备案。</w:t>
      </w:r>
    </w:p>
    <w:p w14:paraId="6FA502F3">
      <w:pPr>
        <w:spacing w:line="400" w:lineRule="exact"/>
        <w:ind w:firstLine="360" w:firstLineChars="150"/>
        <w:jc w:val="left"/>
        <w:rPr>
          <w:rFonts w:ascii="宋体"/>
          <w:sz w:val="24"/>
        </w:rPr>
      </w:pPr>
      <w:r>
        <w:rPr>
          <w:rFonts w:hint="eastAsia" w:ascii="宋体" w:hAnsi="宋体"/>
          <w:sz w:val="24"/>
        </w:rPr>
        <w:t>（</w:t>
      </w:r>
      <w:r>
        <w:rPr>
          <w:rFonts w:ascii="宋体" w:hAnsi="宋体"/>
          <w:sz w:val="24"/>
        </w:rPr>
        <w:t>3</w:t>
      </w:r>
      <w:r>
        <w:rPr>
          <w:rFonts w:hint="eastAsia" w:ascii="宋体" w:hAnsi="宋体"/>
          <w:sz w:val="24"/>
        </w:rPr>
        <w:t>）本合同应按照中华人民共和国的现行法律进行解释。</w:t>
      </w:r>
    </w:p>
    <w:p w14:paraId="52DB59C8">
      <w:pPr>
        <w:pStyle w:val="13"/>
        <w:spacing w:line="400" w:lineRule="exact"/>
        <w:rPr>
          <w:rFonts w:hAnsi="宋体"/>
          <w:b/>
          <w:bCs/>
          <w:sz w:val="24"/>
          <w:szCs w:val="24"/>
        </w:rPr>
      </w:pPr>
      <w:r>
        <w:rPr>
          <w:rFonts w:hAnsi="宋体"/>
          <w:b/>
          <w:bCs/>
          <w:sz w:val="24"/>
          <w:szCs w:val="24"/>
        </w:rPr>
        <w:t>18</w:t>
      </w:r>
      <w:r>
        <w:rPr>
          <w:rFonts w:hint="eastAsia" w:hAnsi="宋体"/>
          <w:b/>
          <w:bCs/>
          <w:sz w:val="24"/>
          <w:szCs w:val="24"/>
        </w:rPr>
        <w:t>、合同附件</w:t>
      </w:r>
    </w:p>
    <w:p w14:paraId="3928B052">
      <w:pPr>
        <w:pStyle w:val="13"/>
        <w:spacing w:line="400" w:lineRule="exact"/>
        <w:ind w:firstLine="360" w:firstLineChars="150"/>
        <w:rPr>
          <w:rFonts w:hAnsi="宋体"/>
          <w:bCs/>
          <w:sz w:val="24"/>
          <w:szCs w:val="24"/>
        </w:rPr>
      </w:pPr>
      <w:r>
        <w:rPr>
          <w:rFonts w:hint="eastAsia" w:hAnsi="宋体"/>
          <w:bCs/>
          <w:sz w:val="24"/>
          <w:szCs w:val="24"/>
        </w:rPr>
        <w:t>（</w:t>
      </w:r>
      <w:r>
        <w:rPr>
          <w:rFonts w:hAnsi="宋体"/>
          <w:bCs/>
          <w:sz w:val="24"/>
          <w:szCs w:val="24"/>
        </w:rPr>
        <w:t>1</w:t>
      </w:r>
      <w:r>
        <w:rPr>
          <w:rFonts w:hint="eastAsia" w:hAnsi="宋体"/>
          <w:bCs/>
          <w:sz w:val="24"/>
          <w:szCs w:val="24"/>
        </w:rPr>
        <w:t>）合同附件包括：</w:t>
      </w:r>
    </w:p>
    <w:p w14:paraId="10CB3898">
      <w:pPr>
        <w:pStyle w:val="13"/>
        <w:spacing w:line="400" w:lineRule="exact"/>
        <w:ind w:firstLine="480" w:firstLineChars="200"/>
        <w:rPr>
          <w:rFonts w:hAnsi="宋体"/>
          <w:sz w:val="24"/>
          <w:szCs w:val="24"/>
        </w:rPr>
      </w:pPr>
      <w:r>
        <w:rPr>
          <w:rFonts w:hAnsi="宋体"/>
          <w:sz w:val="24"/>
          <w:szCs w:val="24"/>
        </w:rPr>
        <w:fldChar w:fldCharType="begin"/>
      </w:r>
      <w:r>
        <w:rPr>
          <w:rFonts w:hAnsi="宋体"/>
          <w:sz w:val="24"/>
          <w:szCs w:val="24"/>
        </w:rPr>
        <w:instrText xml:space="preserve"> = 1 \* GB3 </w:instrText>
      </w:r>
      <w:r>
        <w:rPr>
          <w:rFonts w:hAnsi="宋体"/>
          <w:sz w:val="24"/>
          <w:szCs w:val="24"/>
        </w:rPr>
        <w:fldChar w:fldCharType="separate"/>
      </w:r>
      <w:r>
        <w:rPr>
          <w:rFonts w:hint="eastAsia" w:hAnsi="宋体"/>
          <w:sz w:val="24"/>
          <w:szCs w:val="24"/>
        </w:rPr>
        <w:t>①</w:t>
      </w:r>
      <w:r>
        <w:rPr>
          <w:rFonts w:hAnsi="宋体"/>
          <w:sz w:val="24"/>
          <w:szCs w:val="24"/>
        </w:rPr>
        <w:fldChar w:fldCharType="end"/>
      </w:r>
      <w:r>
        <w:rPr>
          <w:rFonts w:hint="eastAsia" w:hAnsi="宋体"/>
          <w:sz w:val="24"/>
          <w:szCs w:val="24"/>
        </w:rPr>
        <w:t>买方发布的招标文件；</w:t>
      </w:r>
    </w:p>
    <w:p w14:paraId="268A5CC3">
      <w:pPr>
        <w:pStyle w:val="13"/>
        <w:spacing w:line="400" w:lineRule="exact"/>
        <w:ind w:firstLine="480" w:firstLineChars="200"/>
        <w:rPr>
          <w:rFonts w:hAnsi="宋体"/>
          <w:sz w:val="24"/>
          <w:szCs w:val="24"/>
        </w:rPr>
      </w:pPr>
      <w:r>
        <w:rPr>
          <w:rFonts w:hAnsi="宋体"/>
          <w:sz w:val="24"/>
          <w:szCs w:val="24"/>
        </w:rPr>
        <w:fldChar w:fldCharType="begin"/>
      </w:r>
      <w:r>
        <w:rPr>
          <w:rFonts w:hAnsi="宋体"/>
          <w:sz w:val="24"/>
          <w:szCs w:val="24"/>
        </w:rPr>
        <w:instrText xml:space="preserve"> = 2 \* GB3 </w:instrText>
      </w:r>
      <w:r>
        <w:rPr>
          <w:rFonts w:hAnsi="宋体"/>
          <w:sz w:val="24"/>
          <w:szCs w:val="24"/>
        </w:rPr>
        <w:fldChar w:fldCharType="separate"/>
      </w:r>
      <w:r>
        <w:rPr>
          <w:rFonts w:hint="eastAsia" w:hAnsi="宋体"/>
          <w:sz w:val="24"/>
          <w:szCs w:val="24"/>
        </w:rPr>
        <w:t>②</w:t>
      </w:r>
      <w:r>
        <w:rPr>
          <w:rFonts w:hAnsi="宋体"/>
          <w:sz w:val="24"/>
          <w:szCs w:val="24"/>
        </w:rPr>
        <w:fldChar w:fldCharType="end"/>
      </w:r>
      <w:r>
        <w:rPr>
          <w:rFonts w:hint="eastAsia" w:hAnsi="宋体"/>
          <w:sz w:val="24"/>
          <w:szCs w:val="24"/>
        </w:rPr>
        <w:t>卖方提交的投标响应文件；</w:t>
      </w:r>
    </w:p>
    <w:p w14:paraId="22DB6F35">
      <w:pPr>
        <w:pStyle w:val="13"/>
        <w:spacing w:line="400" w:lineRule="exact"/>
        <w:ind w:firstLine="480" w:firstLineChars="200"/>
        <w:rPr>
          <w:rFonts w:hAnsi="宋体"/>
          <w:sz w:val="24"/>
          <w:szCs w:val="24"/>
        </w:rPr>
      </w:pPr>
      <w:r>
        <w:rPr>
          <w:rFonts w:hAnsi="宋体"/>
          <w:sz w:val="24"/>
          <w:szCs w:val="24"/>
        </w:rPr>
        <w:fldChar w:fldCharType="begin"/>
      </w:r>
      <w:r>
        <w:rPr>
          <w:rFonts w:hAnsi="宋体"/>
          <w:sz w:val="24"/>
          <w:szCs w:val="24"/>
        </w:rPr>
        <w:instrText xml:space="preserve"> = 3 \* GB3 </w:instrText>
      </w:r>
      <w:r>
        <w:rPr>
          <w:rFonts w:hAnsi="宋体"/>
          <w:sz w:val="24"/>
          <w:szCs w:val="24"/>
        </w:rPr>
        <w:fldChar w:fldCharType="separate"/>
      </w:r>
      <w:r>
        <w:rPr>
          <w:rFonts w:hint="eastAsia" w:hAnsi="宋体"/>
          <w:sz w:val="24"/>
          <w:szCs w:val="24"/>
        </w:rPr>
        <w:t>③</w:t>
      </w:r>
      <w:r>
        <w:rPr>
          <w:rFonts w:hAnsi="宋体"/>
          <w:sz w:val="24"/>
          <w:szCs w:val="24"/>
        </w:rPr>
        <w:fldChar w:fldCharType="end"/>
      </w:r>
      <w:r>
        <w:rPr>
          <w:rFonts w:hint="eastAsia" w:hAnsi="宋体"/>
          <w:sz w:val="24"/>
          <w:szCs w:val="24"/>
        </w:rPr>
        <w:t>《中标通知书》；</w:t>
      </w:r>
    </w:p>
    <w:p w14:paraId="53094DFA">
      <w:pPr>
        <w:pStyle w:val="13"/>
        <w:spacing w:line="400" w:lineRule="exact"/>
        <w:ind w:firstLine="480" w:firstLineChars="200"/>
        <w:rPr>
          <w:rFonts w:hAnsi="宋体"/>
          <w:sz w:val="24"/>
          <w:szCs w:val="24"/>
        </w:rPr>
      </w:pPr>
      <w:r>
        <w:rPr>
          <w:rFonts w:hAnsi="宋体"/>
          <w:sz w:val="24"/>
          <w:szCs w:val="24"/>
        </w:rPr>
        <w:fldChar w:fldCharType="begin"/>
      </w:r>
      <w:r>
        <w:rPr>
          <w:rFonts w:hAnsi="宋体"/>
          <w:sz w:val="24"/>
          <w:szCs w:val="24"/>
        </w:rPr>
        <w:instrText xml:space="preserve"> = 4 \* GB3 </w:instrText>
      </w:r>
      <w:r>
        <w:rPr>
          <w:rFonts w:hAnsi="宋体"/>
          <w:sz w:val="24"/>
          <w:szCs w:val="24"/>
        </w:rPr>
        <w:fldChar w:fldCharType="separate"/>
      </w:r>
      <w:r>
        <w:rPr>
          <w:rFonts w:hint="eastAsia" w:hAnsi="宋体"/>
          <w:sz w:val="24"/>
          <w:szCs w:val="24"/>
        </w:rPr>
        <w:t>④</w:t>
      </w:r>
      <w:r>
        <w:rPr>
          <w:rFonts w:hAnsi="宋体"/>
          <w:sz w:val="24"/>
          <w:szCs w:val="24"/>
        </w:rPr>
        <w:fldChar w:fldCharType="end"/>
      </w:r>
      <w:r>
        <w:rPr>
          <w:rFonts w:hint="eastAsia" w:hAnsi="宋体"/>
          <w:sz w:val="24"/>
          <w:szCs w:val="24"/>
        </w:rPr>
        <w:t>买方和卖方商定的其他必要文件。</w:t>
      </w:r>
    </w:p>
    <w:p w14:paraId="5C374575">
      <w:pPr>
        <w:pStyle w:val="13"/>
        <w:spacing w:line="400" w:lineRule="exact"/>
        <w:ind w:firstLine="360" w:firstLineChars="150"/>
        <w:rPr>
          <w:rFonts w:hAnsi="宋体"/>
          <w:sz w:val="24"/>
          <w:szCs w:val="24"/>
        </w:rPr>
      </w:pPr>
      <w:r>
        <w:rPr>
          <w:rFonts w:hint="eastAsia" w:hAnsi="宋体"/>
          <w:sz w:val="24"/>
          <w:szCs w:val="24"/>
        </w:rPr>
        <w:t>（</w:t>
      </w:r>
      <w:r>
        <w:rPr>
          <w:rFonts w:hAnsi="宋体"/>
          <w:sz w:val="24"/>
          <w:szCs w:val="24"/>
        </w:rPr>
        <w:t>2</w:t>
      </w:r>
      <w:r>
        <w:rPr>
          <w:rFonts w:hint="eastAsia" w:hAnsi="宋体"/>
          <w:sz w:val="24"/>
          <w:szCs w:val="24"/>
        </w:rPr>
        <w:t>）合同附件与合同具有同等效力。</w:t>
      </w:r>
    </w:p>
    <w:p w14:paraId="6F71211E">
      <w:pPr>
        <w:pStyle w:val="13"/>
        <w:spacing w:line="400" w:lineRule="exact"/>
        <w:ind w:firstLine="360" w:firstLineChars="150"/>
        <w:rPr>
          <w:rFonts w:hAnsi="宋体"/>
          <w:sz w:val="24"/>
          <w:szCs w:val="24"/>
        </w:rPr>
      </w:pPr>
      <w:r>
        <w:rPr>
          <w:rFonts w:hint="eastAsia" w:hAnsi="宋体"/>
          <w:sz w:val="24"/>
          <w:szCs w:val="24"/>
        </w:rPr>
        <w:t>（</w:t>
      </w:r>
      <w:r>
        <w:rPr>
          <w:rFonts w:hAnsi="宋体"/>
          <w:sz w:val="24"/>
          <w:szCs w:val="24"/>
        </w:rPr>
        <w:t>3</w:t>
      </w:r>
      <w:r>
        <w:rPr>
          <w:rFonts w:hint="eastAsia" w:hAnsi="宋体"/>
          <w:sz w:val="24"/>
          <w:szCs w:val="24"/>
        </w:rPr>
        <w:t>）合同文件应能相互解释、相互说明。若合同文件之间有矛盾，则以最新的文件为准。</w:t>
      </w:r>
    </w:p>
    <w:p w14:paraId="2DA41423">
      <w:pPr>
        <w:pStyle w:val="13"/>
        <w:spacing w:line="400" w:lineRule="exact"/>
        <w:ind w:firstLine="482" w:firstLineChars="150"/>
        <w:rPr>
          <w:rFonts w:ascii="黑体" w:hAnsi="黑体" w:eastAsia="黑体"/>
          <w:b/>
          <w:bCs/>
          <w:sz w:val="32"/>
          <w:szCs w:val="32"/>
        </w:rPr>
      </w:pPr>
    </w:p>
    <w:p w14:paraId="53ECDFA3">
      <w:pPr>
        <w:pStyle w:val="13"/>
        <w:spacing w:line="400" w:lineRule="exact"/>
        <w:ind w:firstLine="482" w:firstLineChars="150"/>
        <w:rPr>
          <w:rFonts w:ascii="黑体" w:hAnsi="黑体" w:eastAsia="黑体"/>
          <w:b/>
          <w:bCs/>
          <w:sz w:val="32"/>
          <w:szCs w:val="32"/>
        </w:rPr>
      </w:pPr>
    </w:p>
    <w:p w14:paraId="5FF90BAC">
      <w:pPr>
        <w:pStyle w:val="13"/>
        <w:spacing w:line="400" w:lineRule="exact"/>
        <w:ind w:firstLine="482" w:firstLineChars="150"/>
        <w:rPr>
          <w:rFonts w:ascii="黑体" w:hAnsi="黑体" w:eastAsia="黑体"/>
          <w:b/>
          <w:bCs/>
          <w:sz w:val="32"/>
          <w:szCs w:val="32"/>
        </w:rPr>
      </w:pPr>
    </w:p>
    <w:p w14:paraId="3A2C064D">
      <w:pPr>
        <w:pStyle w:val="13"/>
        <w:spacing w:line="400" w:lineRule="exact"/>
        <w:ind w:firstLine="482" w:firstLineChars="150"/>
        <w:rPr>
          <w:rFonts w:ascii="黑体" w:hAnsi="黑体" w:eastAsia="黑体"/>
          <w:b/>
          <w:bCs/>
          <w:sz w:val="32"/>
          <w:szCs w:val="32"/>
        </w:rPr>
      </w:pPr>
    </w:p>
    <w:p w14:paraId="4FEE3E68">
      <w:pPr>
        <w:pStyle w:val="13"/>
        <w:spacing w:line="400" w:lineRule="exact"/>
        <w:ind w:firstLine="482" w:firstLineChars="150"/>
        <w:rPr>
          <w:rFonts w:ascii="黑体" w:hAnsi="黑体" w:eastAsia="黑体"/>
          <w:b/>
          <w:bCs/>
          <w:sz w:val="32"/>
          <w:szCs w:val="32"/>
        </w:rPr>
      </w:pPr>
    </w:p>
    <w:p w14:paraId="083EB5AD">
      <w:pPr>
        <w:pStyle w:val="13"/>
        <w:spacing w:line="400" w:lineRule="exact"/>
        <w:ind w:firstLine="482" w:firstLineChars="150"/>
        <w:rPr>
          <w:rFonts w:ascii="黑体" w:hAnsi="黑体" w:eastAsia="黑体"/>
          <w:b/>
          <w:bCs/>
          <w:sz w:val="32"/>
          <w:szCs w:val="32"/>
        </w:rPr>
      </w:pPr>
    </w:p>
    <w:p w14:paraId="6DC4B2AC">
      <w:pPr>
        <w:pStyle w:val="13"/>
        <w:spacing w:line="400" w:lineRule="exact"/>
        <w:ind w:firstLine="482" w:firstLineChars="150"/>
        <w:rPr>
          <w:rFonts w:ascii="黑体" w:hAnsi="黑体" w:eastAsia="黑体"/>
          <w:b/>
          <w:bCs/>
          <w:sz w:val="32"/>
          <w:szCs w:val="32"/>
        </w:rPr>
      </w:pPr>
    </w:p>
    <w:p w14:paraId="2AB2E20C">
      <w:pPr>
        <w:pStyle w:val="13"/>
        <w:spacing w:line="400" w:lineRule="exact"/>
        <w:ind w:firstLine="482" w:firstLineChars="150"/>
        <w:rPr>
          <w:rFonts w:ascii="黑体" w:hAnsi="黑体" w:eastAsia="黑体"/>
          <w:b/>
          <w:bCs/>
          <w:sz w:val="32"/>
          <w:szCs w:val="32"/>
        </w:rPr>
      </w:pPr>
    </w:p>
    <w:p w14:paraId="0F747B1A">
      <w:pPr>
        <w:pStyle w:val="13"/>
        <w:spacing w:line="400" w:lineRule="exact"/>
        <w:ind w:firstLine="482" w:firstLineChars="150"/>
        <w:rPr>
          <w:rFonts w:ascii="黑体" w:hAnsi="黑体" w:eastAsia="黑体"/>
          <w:b/>
          <w:bCs/>
          <w:sz w:val="32"/>
          <w:szCs w:val="32"/>
        </w:rPr>
      </w:pPr>
    </w:p>
    <w:p w14:paraId="2D05552D">
      <w:pPr>
        <w:pStyle w:val="13"/>
        <w:spacing w:line="400" w:lineRule="exact"/>
        <w:ind w:firstLine="482" w:firstLineChars="150"/>
        <w:rPr>
          <w:rFonts w:ascii="黑体" w:hAnsi="黑体" w:eastAsia="黑体"/>
          <w:b/>
          <w:bCs/>
          <w:sz w:val="32"/>
          <w:szCs w:val="32"/>
        </w:rPr>
      </w:pPr>
    </w:p>
    <w:p w14:paraId="485DCA51">
      <w:pPr>
        <w:pStyle w:val="13"/>
        <w:spacing w:line="400" w:lineRule="exact"/>
        <w:ind w:firstLine="482" w:firstLineChars="150"/>
        <w:rPr>
          <w:rFonts w:ascii="黑体" w:hAnsi="黑体" w:eastAsia="黑体"/>
          <w:b/>
          <w:bCs/>
          <w:sz w:val="32"/>
          <w:szCs w:val="32"/>
        </w:rPr>
      </w:pPr>
    </w:p>
    <w:p w14:paraId="2DF21DCA">
      <w:pPr>
        <w:pStyle w:val="13"/>
        <w:spacing w:line="400" w:lineRule="exact"/>
        <w:ind w:firstLine="482" w:firstLineChars="150"/>
        <w:rPr>
          <w:rFonts w:ascii="黑体" w:hAnsi="黑体" w:eastAsia="黑体"/>
          <w:b/>
          <w:bCs/>
          <w:sz w:val="32"/>
          <w:szCs w:val="32"/>
        </w:rPr>
      </w:pPr>
    </w:p>
    <w:p w14:paraId="4F8D658B">
      <w:pPr>
        <w:pStyle w:val="13"/>
        <w:spacing w:line="400" w:lineRule="exact"/>
        <w:ind w:firstLine="482" w:firstLineChars="150"/>
        <w:rPr>
          <w:rFonts w:ascii="黑体" w:hAnsi="黑体" w:eastAsia="黑体"/>
          <w:b/>
          <w:bCs/>
          <w:sz w:val="32"/>
          <w:szCs w:val="32"/>
        </w:rPr>
      </w:pPr>
    </w:p>
    <w:p w14:paraId="09A9B75B">
      <w:pPr>
        <w:pStyle w:val="13"/>
        <w:spacing w:line="400" w:lineRule="exact"/>
        <w:ind w:firstLine="482" w:firstLineChars="150"/>
        <w:rPr>
          <w:rFonts w:ascii="黑体" w:hAnsi="黑体" w:eastAsia="黑体"/>
          <w:b/>
          <w:bCs/>
          <w:sz w:val="32"/>
          <w:szCs w:val="32"/>
        </w:rPr>
      </w:pPr>
    </w:p>
    <w:p w14:paraId="2981E98B">
      <w:pPr>
        <w:pStyle w:val="13"/>
        <w:spacing w:line="400" w:lineRule="exact"/>
        <w:ind w:firstLine="482" w:firstLineChars="150"/>
        <w:rPr>
          <w:rFonts w:ascii="黑体" w:hAnsi="黑体" w:eastAsia="黑体"/>
          <w:b/>
          <w:bCs/>
          <w:sz w:val="32"/>
          <w:szCs w:val="32"/>
        </w:rPr>
      </w:pPr>
    </w:p>
    <w:p w14:paraId="588AC4BF">
      <w:pPr>
        <w:pStyle w:val="13"/>
        <w:spacing w:line="400" w:lineRule="exact"/>
        <w:ind w:firstLine="482" w:firstLineChars="150"/>
        <w:rPr>
          <w:rFonts w:ascii="黑体" w:hAnsi="黑体" w:eastAsia="黑体"/>
          <w:b/>
          <w:bCs/>
          <w:sz w:val="32"/>
          <w:szCs w:val="32"/>
        </w:rPr>
      </w:pPr>
    </w:p>
    <w:p w14:paraId="0BA7D40C">
      <w:pPr>
        <w:pStyle w:val="13"/>
        <w:spacing w:line="400" w:lineRule="exact"/>
        <w:ind w:firstLine="482" w:firstLineChars="150"/>
        <w:rPr>
          <w:rFonts w:ascii="黑体" w:hAnsi="黑体" w:eastAsia="黑体"/>
          <w:b/>
          <w:bCs/>
          <w:sz w:val="32"/>
          <w:szCs w:val="32"/>
        </w:rPr>
      </w:pPr>
    </w:p>
    <w:p w14:paraId="6D219E87">
      <w:pPr>
        <w:pStyle w:val="13"/>
        <w:spacing w:line="400" w:lineRule="exact"/>
        <w:ind w:firstLine="482" w:firstLineChars="150"/>
        <w:rPr>
          <w:rFonts w:ascii="黑体" w:hAnsi="黑体" w:eastAsia="黑体"/>
          <w:b/>
          <w:bCs/>
          <w:sz w:val="32"/>
          <w:szCs w:val="32"/>
        </w:rPr>
      </w:pPr>
    </w:p>
    <w:p w14:paraId="2A8CCD7A">
      <w:pPr>
        <w:pStyle w:val="13"/>
        <w:spacing w:line="400" w:lineRule="exact"/>
        <w:ind w:firstLine="482" w:firstLineChars="150"/>
        <w:rPr>
          <w:rFonts w:ascii="黑体" w:hAnsi="黑体" w:eastAsia="黑体"/>
          <w:b/>
          <w:bCs/>
          <w:sz w:val="32"/>
          <w:szCs w:val="32"/>
        </w:rPr>
      </w:pPr>
    </w:p>
    <w:p w14:paraId="0AD3C260">
      <w:pPr>
        <w:pStyle w:val="13"/>
        <w:spacing w:line="400" w:lineRule="exact"/>
        <w:ind w:firstLine="482" w:firstLineChars="150"/>
        <w:rPr>
          <w:rFonts w:ascii="黑体" w:hAnsi="黑体" w:eastAsia="黑体"/>
          <w:b/>
          <w:bCs/>
          <w:sz w:val="32"/>
          <w:szCs w:val="32"/>
        </w:rPr>
      </w:pPr>
    </w:p>
    <w:p w14:paraId="39DA28A9">
      <w:pPr>
        <w:pStyle w:val="13"/>
        <w:spacing w:line="400" w:lineRule="exact"/>
        <w:ind w:firstLine="482" w:firstLineChars="150"/>
        <w:rPr>
          <w:rFonts w:ascii="黑体" w:hAnsi="黑体" w:eastAsia="黑体"/>
          <w:b/>
          <w:bCs/>
          <w:sz w:val="32"/>
          <w:szCs w:val="32"/>
        </w:rPr>
      </w:pPr>
    </w:p>
    <w:p w14:paraId="7EEBCCD5">
      <w:pPr>
        <w:pStyle w:val="13"/>
        <w:spacing w:line="400" w:lineRule="exact"/>
        <w:ind w:firstLine="482" w:firstLineChars="150"/>
        <w:rPr>
          <w:rFonts w:ascii="黑体" w:hAnsi="黑体" w:eastAsia="黑体"/>
          <w:b/>
          <w:bCs/>
          <w:sz w:val="32"/>
          <w:szCs w:val="32"/>
        </w:rPr>
      </w:pPr>
    </w:p>
    <w:p w14:paraId="5DA97D05">
      <w:pPr>
        <w:pStyle w:val="13"/>
        <w:spacing w:line="400" w:lineRule="exact"/>
        <w:ind w:firstLine="482" w:firstLineChars="150"/>
        <w:rPr>
          <w:rFonts w:ascii="黑体" w:hAnsi="黑体" w:eastAsia="黑体"/>
          <w:b/>
          <w:bCs/>
          <w:sz w:val="32"/>
          <w:szCs w:val="32"/>
        </w:rPr>
      </w:pPr>
    </w:p>
    <w:p w14:paraId="23B1CCA8">
      <w:pPr>
        <w:pStyle w:val="13"/>
        <w:spacing w:line="400" w:lineRule="exact"/>
        <w:ind w:firstLine="482" w:firstLineChars="150"/>
        <w:rPr>
          <w:rFonts w:ascii="黑体" w:hAnsi="黑体" w:eastAsia="黑体"/>
          <w:b/>
          <w:bCs/>
          <w:sz w:val="32"/>
          <w:szCs w:val="32"/>
        </w:rPr>
      </w:pPr>
    </w:p>
    <w:p w14:paraId="43FAD5C3">
      <w:pPr>
        <w:pStyle w:val="13"/>
        <w:spacing w:line="400" w:lineRule="exact"/>
        <w:ind w:firstLine="482" w:firstLineChars="150"/>
        <w:rPr>
          <w:rFonts w:ascii="黑体" w:hAnsi="黑体" w:eastAsia="黑体"/>
          <w:b/>
          <w:bCs/>
          <w:sz w:val="32"/>
          <w:szCs w:val="32"/>
        </w:rPr>
      </w:pPr>
    </w:p>
    <w:p w14:paraId="1A47672F">
      <w:pPr>
        <w:pStyle w:val="13"/>
        <w:spacing w:line="400" w:lineRule="exact"/>
        <w:ind w:firstLine="482" w:firstLineChars="150"/>
        <w:rPr>
          <w:rFonts w:ascii="黑体" w:hAnsi="黑体" w:eastAsia="黑体"/>
          <w:b/>
          <w:bCs/>
          <w:sz w:val="32"/>
          <w:szCs w:val="32"/>
        </w:rPr>
      </w:pPr>
    </w:p>
    <w:p w14:paraId="68D0AAF4">
      <w:pPr>
        <w:pStyle w:val="13"/>
        <w:spacing w:line="400" w:lineRule="exact"/>
        <w:rPr>
          <w:rFonts w:ascii="黑体" w:hAnsi="黑体" w:eastAsia="黑体"/>
          <w:b/>
          <w:bCs/>
          <w:sz w:val="32"/>
          <w:szCs w:val="32"/>
        </w:rPr>
      </w:pPr>
      <w:r>
        <w:rPr>
          <w:rFonts w:hint="eastAsia" w:ascii="黑体" w:hAnsi="黑体" w:eastAsia="黑体"/>
          <w:b/>
          <w:bCs/>
          <w:sz w:val="32"/>
          <w:szCs w:val="32"/>
        </w:rPr>
        <w:t>二、</w:t>
      </w:r>
      <w:r>
        <w:rPr>
          <w:rFonts w:ascii="黑体" w:hAnsi="黑体" w:eastAsia="黑体"/>
          <w:b/>
          <w:bCs/>
          <w:sz w:val="32"/>
          <w:szCs w:val="32"/>
        </w:rPr>
        <w:t xml:space="preserve"> </w:t>
      </w:r>
      <w:r>
        <w:rPr>
          <w:rFonts w:hint="eastAsia" w:ascii="黑体" w:hAnsi="黑体" w:eastAsia="黑体"/>
          <w:b/>
          <w:bCs/>
          <w:sz w:val="32"/>
          <w:szCs w:val="32"/>
        </w:rPr>
        <w:t>合同专用条款</w:t>
      </w:r>
    </w:p>
    <w:p w14:paraId="76D354BF">
      <w:pPr>
        <w:pStyle w:val="13"/>
        <w:spacing w:line="400" w:lineRule="exact"/>
        <w:rPr>
          <w:rFonts w:ascii="黑体" w:hAnsi="黑体" w:eastAsia="黑体"/>
          <w:b/>
          <w:sz w:val="32"/>
          <w:szCs w:val="32"/>
        </w:rPr>
      </w:pPr>
    </w:p>
    <w:p w14:paraId="2CE02FD1">
      <w:pPr>
        <w:pStyle w:val="13"/>
        <w:spacing w:line="400" w:lineRule="exact"/>
        <w:ind w:firstLine="120" w:firstLineChars="50"/>
        <w:rPr>
          <w:rFonts w:hAnsi="宋体"/>
          <w:b/>
          <w:sz w:val="24"/>
          <w:szCs w:val="24"/>
        </w:rPr>
      </w:pPr>
      <w:r>
        <w:rPr>
          <w:rFonts w:hAnsi="宋体"/>
          <w:b/>
          <w:bCs/>
          <w:sz w:val="24"/>
          <w:szCs w:val="24"/>
        </w:rPr>
        <w:t>1</w:t>
      </w:r>
      <w:r>
        <w:rPr>
          <w:rFonts w:hint="eastAsia" w:hAnsi="宋体"/>
          <w:b/>
          <w:bCs/>
          <w:sz w:val="24"/>
          <w:szCs w:val="24"/>
        </w:rPr>
        <w:t>、货物名称、型号及规格、制造商、产地、单位、数量、单价、金额及合同价</w:t>
      </w:r>
    </w:p>
    <w:tbl>
      <w:tblPr>
        <w:tblStyle w:val="23"/>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215"/>
        <w:gridCol w:w="1478"/>
        <w:gridCol w:w="1276"/>
        <w:gridCol w:w="1134"/>
        <w:gridCol w:w="709"/>
        <w:gridCol w:w="709"/>
        <w:gridCol w:w="708"/>
        <w:gridCol w:w="993"/>
      </w:tblGrid>
      <w:tr w14:paraId="1A43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30E86442">
            <w:pPr>
              <w:jc w:val="center"/>
              <w:rPr>
                <w:rFonts w:ascii="宋体" w:cs="宋体"/>
                <w:color w:val="000000"/>
                <w:sz w:val="22"/>
              </w:rPr>
            </w:pPr>
            <w:r>
              <w:rPr>
                <w:rFonts w:hint="eastAsia" w:ascii="宋体" w:hAnsi="宋体" w:cs="宋体"/>
                <w:color w:val="000000"/>
                <w:sz w:val="22"/>
              </w:rPr>
              <w:t>序号</w:t>
            </w:r>
          </w:p>
        </w:tc>
        <w:tc>
          <w:tcPr>
            <w:tcW w:w="1215" w:type="dxa"/>
            <w:vAlign w:val="center"/>
          </w:tcPr>
          <w:p w14:paraId="45700325">
            <w:pPr>
              <w:jc w:val="center"/>
              <w:rPr>
                <w:rFonts w:ascii="宋体" w:cs="宋体"/>
                <w:color w:val="000000"/>
                <w:sz w:val="22"/>
              </w:rPr>
            </w:pPr>
            <w:r>
              <w:rPr>
                <w:rFonts w:hint="eastAsia" w:ascii="宋体" w:hAnsi="宋体" w:cs="宋体"/>
                <w:color w:val="000000"/>
                <w:sz w:val="22"/>
              </w:rPr>
              <w:t>货物名称</w:t>
            </w:r>
          </w:p>
        </w:tc>
        <w:tc>
          <w:tcPr>
            <w:tcW w:w="1478" w:type="dxa"/>
            <w:vAlign w:val="center"/>
          </w:tcPr>
          <w:p w14:paraId="08FA5FFD">
            <w:pPr>
              <w:jc w:val="center"/>
              <w:rPr>
                <w:rFonts w:ascii="宋体" w:cs="宋体"/>
                <w:color w:val="000000"/>
                <w:sz w:val="22"/>
              </w:rPr>
            </w:pPr>
            <w:r>
              <w:rPr>
                <w:rFonts w:hint="eastAsia" w:ascii="宋体" w:hAnsi="宋体" w:cs="宋体"/>
                <w:color w:val="000000"/>
                <w:sz w:val="22"/>
              </w:rPr>
              <w:t>型号及规格</w:t>
            </w:r>
          </w:p>
        </w:tc>
        <w:tc>
          <w:tcPr>
            <w:tcW w:w="1276" w:type="dxa"/>
            <w:vAlign w:val="center"/>
          </w:tcPr>
          <w:p w14:paraId="3ACC2EB9">
            <w:pPr>
              <w:jc w:val="center"/>
              <w:rPr>
                <w:rFonts w:ascii="宋体" w:cs="宋体"/>
                <w:color w:val="000000"/>
                <w:sz w:val="22"/>
              </w:rPr>
            </w:pPr>
            <w:r>
              <w:rPr>
                <w:rFonts w:hint="eastAsia" w:ascii="宋体" w:hAnsi="宋体" w:cs="宋体"/>
                <w:color w:val="000000"/>
                <w:sz w:val="22"/>
              </w:rPr>
              <w:t>制造商</w:t>
            </w:r>
          </w:p>
        </w:tc>
        <w:tc>
          <w:tcPr>
            <w:tcW w:w="1134" w:type="dxa"/>
            <w:vAlign w:val="center"/>
          </w:tcPr>
          <w:p w14:paraId="084A8EAF">
            <w:pPr>
              <w:jc w:val="center"/>
              <w:rPr>
                <w:rFonts w:ascii="宋体" w:cs="宋体"/>
                <w:color w:val="000000"/>
                <w:sz w:val="22"/>
              </w:rPr>
            </w:pPr>
            <w:r>
              <w:rPr>
                <w:rFonts w:hint="eastAsia" w:ascii="宋体" w:hAnsi="宋体" w:cs="宋体"/>
                <w:color w:val="000000"/>
                <w:sz w:val="22"/>
              </w:rPr>
              <w:t>产地</w:t>
            </w:r>
          </w:p>
        </w:tc>
        <w:tc>
          <w:tcPr>
            <w:tcW w:w="709" w:type="dxa"/>
            <w:vAlign w:val="center"/>
          </w:tcPr>
          <w:p w14:paraId="5B929FC6">
            <w:pPr>
              <w:jc w:val="center"/>
              <w:rPr>
                <w:rFonts w:ascii="宋体" w:cs="宋体"/>
                <w:color w:val="000000"/>
                <w:sz w:val="22"/>
              </w:rPr>
            </w:pPr>
            <w:r>
              <w:rPr>
                <w:rFonts w:hint="eastAsia" w:ascii="宋体" w:hAnsi="宋体" w:cs="宋体"/>
                <w:color w:val="000000"/>
                <w:sz w:val="22"/>
              </w:rPr>
              <w:t>单位</w:t>
            </w:r>
          </w:p>
        </w:tc>
        <w:tc>
          <w:tcPr>
            <w:tcW w:w="709" w:type="dxa"/>
            <w:vAlign w:val="center"/>
          </w:tcPr>
          <w:p w14:paraId="6CB8AFEE">
            <w:pPr>
              <w:jc w:val="center"/>
              <w:rPr>
                <w:rFonts w:ascii="宋体" w:cs="宋体"/>
                <w:color w:val="000000"/>
                <w:sz w:val="22"/>
              </w:rPr>
            </w:pPr>
            <w:r>
              <w:rPr>
                <w:rFonts w:hint="eastAsia" w:ascii="宋体" w:hAnsi="宋体" w:cs="宋体"/>
                <w:color w:val="000000"/>
                <w:sz w:val="22"/>
              </w:rPr>
              <w:t>数量</w:t>
            </w:r>
          </w:p>
        </w:tc>
        <w:tc>
          <w:tcPr>
            <w:tcW w:w="708" w:type="dxa"/>
            <w:vAlign w:val="center"/>
          </w:tcPr>
          <w:p w14:paraId="68B210E6">
            <w:pPr>
              <w:jc w:val="center"/>
              <w:rPr>
                <w:rFonts w:ascii="宋体" w:cs="宋体"/>
                <w:color w:val="000000"/>
                <w:sz w:val="22"/>
              </w:rPr>
            </w:pPr>
            <w:r>
              <w:rPr>
                <w:rFonts w:hint="eastAsia" w:ascii="宋体" w:hAnsi="宋体" w:cs="宋体"/>
                <w:color w:val="000000"/>
                <w:sz w:val="22"/>
              </w:rPr>
              <w:t>单价</w:t>
            </w:r>
          </w:p>
        </w:tc>
        <w:tc>
          <w:tcPr>
            <w:tcW w:w="993" w:type="dxa"/>
            <w:vAlign w:val="center"/>
          </w:tcPr>
          <w:p w14:paraId="57D60351">
            <w:pPr>
              <w:jc w:val="center"/>
              <w:rPr>
                <w:rFonts w:ascii="宋体" w:cs="宋体"/>
                <w:color w:val="000000"/>
                <w:sz w:val="22"/>
              </w:rPr>
            </w:pPr>
            <w:r>
              <w:rPr>
                <w:rFonts w:hint="eastAsia" w:ascii="宋体" w:hAnsi="宋体" w:cs="宋体"/>
                <w:color w:val="000000"/>
                <w:sz w:val="22"/>
              </w:rPr>
              <w:t>金额</w:t>
            </w:r>
          </w:p>
        </w:tc>
      </w:tr>
      <w:tr w14:paraId="104D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5DF90A6F">
            <w:pPr>
              <w:jc w:val="left"/>
              <w:rPr>
                <w:rFonts w:ascii="宋体" w:cs="宋体"/>
                <w:color w:val="000000"/>
                <w:sz w:val="22"/>
              </w:rPr>
            </w:pPr>
            <w:r>
              <w:rPr>
                <w:rFonts w:hint="eastAsia" w:ascii="宋体" w:hAnsi="宋体" w:cs="宋体"/>
                <w:color w:val="000000"/>
                <w:sz w:val="22"/>
              </w:rPr>
              <w:t>　</w:t>
            </w:r>
          </w:p>
        </w:tc>
        <w:tc>
          <w:tcPr>
            <w:tcW w:w="1215" w:type="dxa"/>
            <w:vAlign w:val="center"/>
          </w:tcPr>
          <w:p w14:paraId="2C629B7F">
            <w:pPr>
              <w:jc w:val="left"/>
              <w:rPr>
                <w:rFonts w:ascii="宋体" w:cs="宋体"/>
                <w:color w:val="000000"/>
                <w:sz w:val="22"/>
              </w:rPr>
            </w:pPr>
            <w:r>
              <w:rPr>
                <w:rFonts w:hint="eastAsia" w:ascii="宋体" w:hAnsi="宋体" w:cs="宋体"/>
                <w:color w:val="000000"/>
                <w:sz w:val="22"/>
              </w:rPr>
              <w:t>　</w:t>
            </w:r>
          </w:p>
        </w:tc>
        <w:tc>
          <w:tcPr>
            <w:tcW w:w="1478" w:type="dxa"/>
            <w:vAlign w:val="center"/>
          </w:tcPr>
          <w:p w14:paraId="1808EAB8">
            <w:pPr>
              <w:jc w:val="left"/>
              <w:rPr>
                <w:rFonts w:ascii="宋体" w:cs="宋体"/>
                <w:color w:val="000000"/>
                <w:sz w:val="22"/>
              </w:rPr>
            </w:pPr>
          </w:p>
        </w:tc>
        <w:tc>
          <w:tcPr>
            <w:tcW w:w="1276" w:type="dxa"/>
            <w:vAlign w:val="center"/>
          </w:tcPr>
          <w:p w14:paraId="27EF0394">
            <w:pPr>
              <w:jc w:val="left"/>
              <w:rPr>
                <w:rFonts w:ascii="宋体" w:cs="宋体"/>
                <w:color w:val="000000"/>
                <w:sz w:val="22"/>
              </w:rPr>
            </w:pPr>
            <w:r>
              <w:rPr>
                <w:rFonts w:hint="eastAsia" w:ascii="宋体" w:hAnsi="宋体" w:cs="宋体"/>
                <w:color w:val="000000"/>
                <w:sz w:val="22"/>
              </w:rPr>
              <w:t>　</w:t>
            </w:r>
          </w:p>
        </w:tc>
        <w:tc>
          <w:tcPr>
            <w:tcW w:w="1134" w:type="dxa"/>
            <w:vAlign w:val="center"/>
          </w:tcPr>
          <w:p w14:paraId="18B9E681">
            <w:pPr>
              <w:jc w:val="left"/>
              <w:rPr>
                <w:rFonts w:ascii="宋体" w:cs="宋体"/>
                <w:color w:val="000000"/>
                <w:sz w:val="22"/>
              </w:rPr>
            </w:pPr>
            <w:r>
              <w:rPr>
                <w:rFonts w:hint="eastAsia" w:ascii="宋体" w:hAnsi="宋体" w:cs="宋体"/>
                <w:color w:val="000000"/>
                <w:sz w:val="22"/>
              </w:rPr>
              <w:t>　</w:t>
            </w:r>
          </w:p>
        </w:tc>
        <w:tc>
          <w:tcPr>
            <w:tcW w:w="709" w:type="dxa"/>
            <w:vAlign w:val="center"/>
          </w:tcPr>
          <w:p w14:paraId="52A97C48">
            <w:pPr>
              <w:jc w:val="left"/>
              <w:rPr>
                <w:rFonts w:ascii="宋体" w:cs="宋体"/>
                <w:color w:val="000000"/>
                <w:sz w:val="22"/>
              </w:rPr>
            </w:pPr>
            <w:r>
              <w:rPr>
                <w:rFonts w:hint="eastAsia" w:ascii="宋体" w:hAnsi="宋体" w:cs="宋体"/>
                <w:color w:val="000000"/>
                <w:sz w:val="22"/>
              </w:rPr>
              <w:t>　</w:t>
            </w:r>
          </w:p>
        </w:tc>
        <w:tc>
          <w:tcPr>
            <w:tcW w:w="709" w:type="dxa"/>
            <w:vAlign w:val="center"/>
          </w:tcPr>
          <w:p w14:paraId="3352F29F">
            <w:pPr>
              <w:jc w:val="left"/>
              <w:rPr>
                <w:rFonts w:ascii="宋体" w:cs="宋体"/>
                <w:color w:val="000000"/>
                <w:sz w:val="22"/>
              </w:rPr>
            </w:pPr>
            <w:r>
              <w:rPr>
                <w:rFonts w:hint="eastAsia" w:ascii="宋体" w:hAnsi="宋体" w:cs="宋体"/>
                <w:color w:val="000000"/>
                <w:sz w:val="22"/>
              </w:rPr>
              <w:t>　</w:t>
            </w:r>
          </w:p>
        </w:tc>
        <w:tc>
          <w:tcPr>
            <w:tcW w:w="708" w:type="dxa"/>
            <w:vAlign w:val="center"/>
          </w:tcPr>
          <w:p w14:paraId="23A73691">
            <w:pPr>
              <w:jc w:val="left"/>
              <w:rPr>
                <w:rFonts w:ascii="宋体" w:cs="宋体"/>
                <w:color w:val="000000"/>
                <w:sz w:val="22"/>
              </w:rPr>
            </w:pPr>
            <w:r>
              <w:rPr>
                <w:rFonts w:hint="eastAsia" w:ascii="宋体" w:hAnsi="宋体" w:cs="宋体"/>
                <w:color w:val="000000"/>
                <w:sz w:val="22"/>
              </w:rPr>
              <w:t>　</w:t>
            </w:r>
          </w:p>
        </w:tc>
        <w:tc>
          <w:tcPr>
            <w:tcW w:w="993" w:type="dxa"/>
            <w:vAlign w:val="center"/>
          </w:tcPr>
          <w:p w14:paraId="6A7E936F">
            <w:pPr>
              <w:jc w:val="left"/>
              <w:rPr>
                <w:rFonts w:ascii="宋体" w:cs="宋体"/>
                <w:color w:val="000000"/>
                <w:sz w:val="22"/>
              </w:rPr>
            </w:pPr>
            <w:r>
              <w:rPr>
                <w:rFonts w:hint="eastAsia" w:ascii="宋体" w:hAnsi="宋体" w:cs="宋体"/>
                <w:color w:val="000000"/>
                <w:sz w:val="22"/>
              </w:rPr>
              <w:t>　</w:t>
            </w:r>
          </w:p>
        </w:tc>
      </w:tr>
      <w:tr w14:paraId="38EE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747820B1">
            <w:pPr>
              <w:jc w:val="left"/>
              <w:rPr>
                <w:rFonts w:ascii="宋体" w:cs="宋体"/>
                <w:color w:val="000000"/>
                <w:sz w:val="22"/>
              </w:rPr>
            </w:pPr>
            <w:r>
              <w:rPr>
                <w:rFonts w:hint="eastAsia" w:ascii="宋体" w:hAnsi="宋体" w:cs="宋体"/>
                <w:color w:val="000000"/>
                <w:sz w:val="22"/>
              </w:rPr>
              <w:t>　</w:t>
            </w:r>
          </w:p>
        </w:tc>
        <w:tc>
          <w:tcPr>
            <w:tcW w:w="1215" w:type="dxa"/>
            <w:vAlign w:val="center"/>
          </w:tcPr>
          <w:p w14:paraId="16FA76A8">
            <w:pPr>
              <w:jc w:val="left"/>
              <w:rPr>
                <w:rFonts w:ascii="宋体" w:cs="宋体"/>
                <w:color w:val="000000"/>
                <w:sz w:val="22"/>
              </w:rPr>
            </w:pPr>
            <w:r>
              <w:rPr>
                <w:rFonts w:hint="eastAsia" w:ascii="宋体" w:hAnsi="宋体" w:cs="宋体"/>
                <w:color w:val="000000"/>
                <w:sz w:val="22"/>
              </w:rPr>
              <w:t>　</w:t>
            </w:r>
          </w:p>
        </w:tc>
        <w:tc>
          <w:tcPr>
            <w:tcW w:w="1478" w:type="dxa"/>
            <w:vAlign w:val="center"/>
          </w:tcPr>
          <w:p w14:paraId="64A6B8D1">
            <w:pPr>
              <w:jc w:val="left"/>
              <w:rPr>
                <w:rFonts w:ascii="宋体" w:cs="宋体"/>
                <w:color w:val="000000"/>
                <w:sz w:val="22"/>
              </w:rPr>
            </w:pPr>
          </w:p>
        </w:tc>
        <w:tc>
          <w:tcPr>
            <w:tcW w:w="1276" w:type="dxa"/>
            <w:vAlign w:val="center"/>
          </w:tcPr>
          <w:p w14:paraId="0D103832">
            <w:pPr>
              <w:jc w:val="left"/>
              <w:rPr>
                <w:rFonts w:ascii="宋体" w:cs="宋体"/>
                <w:color w:val="000000"/>
                <w:sz w:val="22"/>
              </w:rPr>
            </w:pPr>
            <w:r>
              <w:rPr>
                <w:rFonts w:hint="eastAsia" w:ascii="宋体" w:hAnsi="宋体" w:cs="宋体"/>
                <w:color w:val="000000"/>
                <w:sz w:val="22"/>
              </w:rPr>
              <w:t>　</w:t>
            </w:r>
          </w:p>
        </w:tc>
        <w:tc>
          <w:tcPr>
            <w:tcW w:w="1134" w:type="dxa"/>
            <w:vAlign w:val="center"/>
          </w:tcPr>
          <w:p w14:paraId="41644D07">
            <w:pPr>
              <w:jc w:val="left"/>
              <w:rPr>
                <w:rFonts w:ascii="宋体" w:cs="宋体"/>
                <w:color w:val="000000"/>
                <w:sz w:val="22"/>
              </w:rPr>
            </w:pPr>
            <w:r>
              <w:rPr>
                <w:rFonts w:hint="eastAsia" w:ascii="宋体" w:hAnsi="宋体" w:cs="宋体"/>
                <w:color w:val="000000"/>
                <w:sz w:val="22"/>
              </w:rPr>
              <w:t>　</w:t>
            </w:r>
          </w:p>
        </w:tc>
        <w:tc>
          <w:tcPr>
            <w:tcW w:w="709" w:type="dxa"/>
            <w:vAlign w:val="center"/>
          </w:tcPr>
          <w:p w14:paraId="3BB5A3FF">
            <w:pPr>
              <w:jc w:val="left"/>
              <w:rPr>
                <w:rFonts w:ascii="宋体" w:cs="宋体"/>
                <w:color w:val="000000"/>
                <w:sz w:val="22"/>
              </w:rPr>
            </w:pPr>
            <w:r>
              <w:rPr>
                <w:rFonts w:hint="eastAsia" w:ascii="宋体" w:hAnsi="宋体" w:cs="宋体"/>
                <w:color w:val="000000"/>
                <w:sz w:val="22"/>
              </w:rPr>
              <w:t>　</w:t>
            </w:r>
          </w:p>
        </w:tc>
        <w:tc>
          <w:tcPr>
            <w:tcW w:w="709" w:type="dxa"/>
            <w:vAlign w:val="center"/>
          </w:tcPr>
          <w:p w14:paraId="1EC53DBE">
            <w:pPr>
              <w:jc w:val="left"/>
              <w:rPr>
                <w:rFonts w:ascii="宋体" w:cs="宋体"/>
                <w:color w:val="000000"/>
                <w:sz w:val="22"/>
              </w:rPr>
            </w:pPr>
            <w:r>
              <w:rPr>
                <w:rFonts w:hint="eastAsia" w:ascii="宋体" w:hAnsi="宋体" w:cs="宋体"/>
                <w:color w:val="000000"/>
                <w:sz w:val="22"/>
              </w:rPr>
              <w:t>　</w:t>
            </w:r>
          </w:p>
        </w:tc>
        <w:tc>
          <w:tcPr>
            <w:tcW w:w="708" w:type="dxa"/>
            <w:vAlign w:val="center"/>
          </w:tcPr>
          <w:p w14:paraId="3F7D3166">
            <w:pPr>
              <w:jc w:val="left"/>
              <w:rPr>
                <w:rFonts w:ascii="宋体" w:cs="宋体"/>
                <w:color w:val="000000"/>
                <w:sz w:val="22"/>
              </w:rPr>
            </w:pPr>
            <w:r>
              <w:rPr>
                <w:rFonts w:hint="eastAsia" w:ascii="宋体" w:hAnsi="宋体" w:cs="宋体"/>
                <w:color w:val="000000"/>
                <w:sz w:val="22"/>
              </w:rPr>
              <w:t>　</w:t>
            </w:r>
          </w:p>
        </w:tc>
        <w:tc>
          <w:tcPr>
            <w:tcW w:w="993" w:type="dxa"/>
            <w:vAlign w:val="center"/>
          </w:tcPr>
          <w:p w14:paraId="2A7FF1F4">
            <w:pPr>
              <w:jc w:val="left"/>
              <w:rPr>
                <w:rFonts w:ascii="宋体" w:cs="宋体"/>
                <w:color w:val="000000"/>
                <w:sz w:val="22"/>
              </w:rPr>
            </w:pPr>
            <w:r>
              <w:rPr>
                <w:rFonts w:hint="eastAsia" w:ascii="宋体" w:hAnsi="宋体" w:cs="宋体"/>
                <w:color w:val="000000"/>
                <w:sz w:val="22"/>
              </w:rPr>
              <w:t>　</w:t>
            </w:r>
          </w:p>
        </w:tc>
      </w:tr>
      <w:tr w14:paraId="4482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21D1401D">
            <w:pPr>
              <w:jc w:val="left"/>
              <w:rPr>
                <w:rFonts w:ascii="宋体" w:cs="宋体"/>
                <w:color w:val="000000"/>
                <w:sz w:val="22"/>
              </w:rPr>
            </w:pPr>
            <w:r>
              <w:rPr>
                <w:rFonts w:hint="eastAsia" w:ascii="宋体" w:hAnsi="宋体" w:cs="宋体"/>
                <w:color w:val="000000"/>
                <w:sz w:val="22"/>
              </w:rPr>
              <w:t>　</w:t>
            </w:r>
          </w:p>
        </w:tc>
        <w:tc>
          <w:tcPr>
            <w:tcW w:w="1215" w:type="dxa"/>
            <w:vAlign w:val="center"/>
          </w:tcPr>
          <w:p w14:paraId="009D229B">
            <w:pPr>
              <w:jc w:val="left"/>
              <w:rPr>
                <w:rFonts w:ascii="宋体" w:cs="宋体"/>
                <w:color w:val="000000"/>
                <w:sz w:val="22"/>
              </w:rPr>
            </w:pPr>
            <w:r>
              <w:rPr>
                <w:rFonts w:hint="eastAsia" w:ascii="宋体" w:hAnsi="宋体" w:cs="宋体"/>
                <w:color w:val="000000"/>
                <w:sz w:val="22"/>
              </w:rPr>
              <w:t>　</w:t>
            </w:r>
          </w:p>
        </w:tc>
        <w:tc>
          <w:tcPr>
            <w:tcW w:w="1478" w:type="dxa"/>
            <w:vAlign w:val="center"/>
          </w:tcPr>
          <w:p w14:paraId="2DAD64C4">
            <w:pPr>
              <w:jc w:val="left"/>
              <w:rPr>
                <w:rFonts w:ascii="宋体" w:cs="宋体"/>
                <w:color w:val="000000"/>
                <w:sz w:val="22"/>
              </w:rPr>
            </w:pPr>
          </w:p>
        </w:tc>
        <w:tc>
          <w:tcPr>
            <w:tcW w:w="1276" w:type="dxa"/>
            <w:vAlign w:val="center"/>
          </w:tcPr>
          <w:p w14:paraId="3FA05446">
            <w:pPr>
              <w:jc w:val="left"/>
              <w:rPr>
                <w:rFonts w:ascii="宋体" w:cs="宋体"/>
                <w:color w:val="000000"/>
                <w:sz w:val="22"/>
              </w:rPr>
            </w:pPr>
            <w:r>
              <w:rPr>
                <w:rFonts w:hint="eastAsia" w:ascii="宋体" w:hAnsi="宋体" w:cs="宋体"/>
                <w:color w:val="000000"/>
                <w:sz w:val="22"/>
              </w:rPr>
              <w:t>　</w:t>
            </w:r>
          </w:p>
        </w:tc>
        <w:tc>
          <w:tcPr>
            <w:tcW w:w="1134" w:type="dxa"/>
            <w:vAlign w:val="center"/>
          </w:tcPr>
          <w:p w14:paraId="0DB59EAA">
            <w:pPr>
              <w:jc w:val="left"/>
              <w:rPr>
                <w:rFonts w:ascii="宋体" w:cs="宋体"/>
                <w:color w:val="000000"/>
                <w:sz w:val="22"/>
              </w:rPr>
            </w:pPr>
            <w:r>
              <w:rPr>
                <w:rFonts w:hint="eastAsia" w:ascii="宋体" w:hAnsi="宋体" w:cs="宋体"/>
                <w:color w:val="000000"/>
                <w:sz w:val="22"/>
              </w:rPr>
              <w:t>　</w:t>
            </w:r>
          </w:p>
        </w:tc>
        <w:tc>
          <w:tcPr>
            <w:tcW w:w="709" w:type="dxa"/>
            <w:vAlign w:val="center"/>
          </w:tcPr>
          <w:p w14:paraId="7751B61B">
            <w:pPr>
              <w:jc w:val="left"/>
              <w:rPr>
                <w:rFonts w:ascii="宋体" w:cs="宋体"/>
                <w:color w:val="000000"/>
                <w:sz w:val="22"/>
              </w:rPr>
            </w:pPr>
            <w:r>
              <w:rPr>
                <w:rFonts w:hint="eastAsia" w:ascii="宋体" w:hAnsi="宋体" w:cs="宋体"/>
                <w:color w:val="000000"/>
                <w:sz w:val="22"/>
              </w:rPr>
              <w:t>　</w:t>
            </w:r>
          </w:p>
        </w:tc>
        <w:tc>
          <w:tcPr>
            <w:tcW w:w="709" w:type="dxa"/>
            <w:vAlign w:val="center"/>
          </w:tcPr>
          <w:p w14:paraId="2C6F8387">
            <w:pPr>
              <w:jc w:val="left"/>
              <w:rPr>
                <w:rFonts w:ascii="宋体" w:cs="宋体"/>
                <w:color w:val="000000"/>
                <w:sz w:val="22"/>
              </w:rPr>
            </w:pPr>
            <w:r>
              <w:rPr>
                <w:rFonts w:hint="eastAsia" w:ascii="宋体" w:hAnsi="宋体" w:cs="宋体"/>
                <w:color w:val="000000"/>
                <w:sz w:val="22"/>
              </w:rPr>
              <w:t>　</w:t>
            </w:r>
          </w:p>
        </w:tc>
        <w:tc>
          <w:tcPr>
            <w:tcW w:w="708" w:type="dxa"/>
            <w:vAlign w:val="center"/>
          </w:tcPr>
          <w:p w14:paraId="4C2B9868">
            <w:pPr>
              <w:jc w:val="left"/>
              <w:rPr>
                <w:rFonts w:ascii="宋体" w:cs="宋体"/>
                <w:color w:val="000000"/>
                <w:sz w:val="22"/>
              </w:rPr>
            </w:pPr>
            <w:r>
              <w:rPr>
                <w:rFonts w:hint="eastAsia" w:ascii="宋体" w:hAnsi="宋体" w:cs="宋体"/>
                <w:color w:val="000000"/>
                <w:sz w:val="22"/>
              </w:rPr>
              <w:t>　</w:t>
            </w:r>
          </w:p>
        </w:tc>
        <w:tc>
          <w:tcPr>
            <w:tcW w:w="993" w:type="dxa"/>
            <w:vAlign w:val="center"/>
          </w:tcPr>
          <w:p w14:paraId="497EFC06">
            <w:pPr>
              <w:jc w:val="left"/>
              <w:rPr>
                <w:rFonts w:ascii="宋体" w:cs="宋体"/>
                <w:color w:val="000000"/>
                <w:sz w:val="22"/>
              </w:rPr>
            </w:pPr>
            <w:r>
              <w:rPr>
                <w:rFonts w:hint="eastAsia" w:ascii="宋体" w:hAnsi="宋体" w:cs="宋体"/>
                <w:color w:val="000000"/>
                <w:sz w:val="22"/>
              </w:rPr>
              <w:t>　</w:t>
            </w:r>
          </w:p>
        </w:tc>
      </w:tr>
      <w:tr w14:paraId="32D1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6F8B362B">
            <w:pPr>
              <w:jc w:val="left"/>
              <w:rPr>
                <w:rFonts w:ascii="宋体" w:cs="宋体"/>
                <w:color w:val="000000"/>
                <w:sz w:val="22"/>
              </w:rPr>
            </w:pPr>
            <w:r>
              <w:rPr>
                <w:rFonts w:hint="eastAsia" w:ascii="宋体" w:hAnsi="宋体" w:cs="宋体"/>
                <w:color w:val="000000"/>
                <w:sz w:val="22"/>
              </w:rPr>
              <w:t>　</w:t>
            </w:r>
          </w:p>
        </w:tc>
        <w:tc>
          <w:tcPr>
            <w:tcW w:w="1215" w:type="dxa"/>
            <w:vAlign w:val="center"/>
          </w:tcPr>
          <w:p w14:paraId="57831DB7">
            <w:pPr>
              <w:jc w:val="left"/>
              <w:rPr>
                <w:rFonts w:ascii="宋体" w:cs="宋体"/>
                <w:color w:val="000000"/>
                <w:sz w:val="22"/>
              </w:rPr>
            </w:pPr>
            <w:r>
              <w:rPr>
                <w:rFonts w:hint="eastAsia" w:ascii="宋体" w:hAnsi="宋体" w:cs="宋体"/>
                <w:color w:val="000000"/>
                <w:sz w:val="22"/>
              </w:rPr>
              <w:t>　</w:t>
            </w:r>
          </w:p>
        </w:tc>
        <w:tc>
          <w:tcPr>
            <w:tcW w:w="1478" w:type="dxa"/>
            <w:vAlign w:val="center"/>
          </w:tcPr>
          <w:p w14:paraId="5DA5F0DA">
            <w:pPr>
              <w:jc w:val="left"/>
              <w:rPr>
                <w:rFonts w:ascii="宋体" w:cs="宋体"/>
                <w:color w:val="000000"/>
                <w:sz w:val="22"/>
              </w:rPr>
            </w:pPr>
          </w:p>
        </w:tc>
        <w:tc>
          <w:tcPr>
            <w:tcW w:w="1276" w:type="dxa"/>
            <w:vAlign w:val="center"/>
          </w:tcPr>
          <w:p w14:paraId="68FF9BB2">
            <w:pPr>
              <w:jc w:val="left"/>
              <w:rPr>
                <w:rFonts w:ascii="宋体" w:cs="宋体"/>
                <w:color w:val="000000"/>
                <w:sz w:val="22"/>
              </w:rPr>
            </w:pPr>
            <w:r>
              <w:rPr>
                <w:rFonts w:hint="eastAsia" w:ascii="宋体" w:hAnsi="宋体" w:cs="宋体"/>
                <w:color w:val="000000"/>
                <w:sz w:val="22"/>
              </w:rPr>
              <w:t>　</w:t>
            </w:r>
          </w:p>
        </w:tc>
        <w:tc>
          <w:tcPr>
            <w:tcW w:w="1134" w:type="dxa"/>
            <w:vAlign w:val="center"/>
          </w:tcPr>
          <w:p w14:paraId="7578642D">
            <w:pPr>
              <w:jc w:val="left"/>
              <w:rPr>
                <w:rFonts w:ascii="宋体" w:cs="宋体"/>
                <w:color w:val="000000"/>
                <w:sz w:val="22"/>
              </w:rPr>
            </w:pPr>
            <w:r>
              <w:rPr>
                <w:rFonts w:hint="eastAsia" w:ascii="宋体" w:hAnsi="宋体" w:cs="宋体"/>
                <w:color w:val="000000"/>
                <w:sz w:val="22"/>
              </w:rPr>
              <w:t>　</w:t>
            </w:r>
          </w:p>
        </w:tc>
        <w:tc>
          <w:tcPr>
            <w:tcW w:w="709" w:type="dxa"/>
            <w:vAlign w:val="center"/>
          </w:tcPr>
          <w:p w14:paraId="4412F0B5">
            <w:pPr>
              <w:jc w:val="left"/>
              <w:rPr>
                <w:rFonts w:ascii="宋体" w:cs="宋体"/>
                <w:color w:val="000000"/>
                <w:sz w:val="22"/>
              </w:rPr>
            </w:pPr>
            <w:r>
              <w:rPr>
                <w:rFonts w:hint="eastAsia" w:ascii="宋体" w:hAnsi="宋体" w:cs="宋体"/>
                <w:color w:val="000000"/>
                <w:sz w:val="22"/>
              </w:rPr>
              <w:t>　</w:t>
            </w:r>
          </w:p>
        </w:tc>
        <w:tc>
          <w:tcPr>
            <w:tcW w:w="709" w:type="dxa"/>
            <w:vAlign w:val="center"/>
          </w:tcPr>
          <w:p w14:paraId="51083388">
            <w:pPr>
              <w:jc w:val="left"/>
              <w:rPr>
                <w:rFonts w:ascii="宋体" w:cs="宋体"/>
                <w:color w:val="000000"/>
                <w:sz w:val="22"/>
              </w:rPr>
            </w:pPr>
            <w:r>
              <w:rPr>
                <w:rFonts w:hint="eastAsia" w:ascii="宋体" w:hAnsi="宋体" w:cs="宋体"/>
                <w:color w:val="000000"/>
                <w:sz w:val="22"/>
              </w:rPr>
              <w:t>　</w:t>
            </w:r>
          </w:p>
        </w:tc>
        <w:tc>
          <w:tcPr>
            <w:tcW w:w="708" w:type="dxa"/>
            <w:vAlign w:val="center"/>
          </w:tcPr>
          <w:p w14:paraId="50EBA981">
            <w:pPr>
              <w:jc w:val="left"/>
              <w:rPr>
                <w:rFonts w:ascii="宋体" w:cs="宋体"/>
                <w:color w:val="000000"/>
                <w:sz w:val="22"/>
              </w:rPr>
            </w:pPr>
            <w:r>
              <w:rPr>
                <w:rFonts w:hint="eastAsia" w:ascii="宋体" w:hAnsi="宋体" w:cs="宋体"/>
                <w:color w:val="000000"/>
                <w:sz w:val="22"/>
              </w:rPr>
              <w:t>　</w:t>
            </w:r>
          </w:p>
        </w:tc>
        <w:tc>
          <w:tcPr>
            <w:tcW w:w="993" w:type="dxa"/>
            <w:vAlign w:val="center"/>
          </w:tcPr>
          <w:p w14:paraId="58FF19AC">
            <w:pPr>
              <w:jc w:val="left"/>
              <w:rPr>
                <w:rFonts w:ascii="宋体" w:cs="宋体"/>
                <w:color w:val="000000"/>
                <w:sz w:val="22"/>
              </w:rPr>
            </w:pPr>
            <w:r>
              <w:rPr>
                <w:rFonts w:hint="eastAsia" w:ascii="宋体" w:hAnsi="宋体" w:cs="宋体"/>
                <w:color w:val="000000"/>
                <w:sz w:val="22"/>
              </w:rPr>
              <w:t>　</w:t>
            </w:r>
          </w:p>
        </w:tc>
      </w:tr>
      <w:tr w14:paraId="358D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70922BB0">
            <w:pPr>
              <w:jc w:val="left"/>
              <w:rPr>
                <w:rFonts w:ascii="宋体" w:cs="宋体"/>
                <w:color w:val="000000"/>
                <w:sz w:val="22"/>
              </w:rPr>
            </w:pPr>
            <w:r>
              <w:rPr>
                <w:rFonts w:hint="eastAsia" w:ascii="宋体" w:hAnsi="宋体" w:cs="宋体"/>
                <w:color w:val="000000"/>
                <w:sz w:val="22"/>
              </w:rPr>
              <w:t>　</w:t>
            </w:r>
          </w:p>
        </w:tc>
        <w:tc>
          <w:tcPr>
            <w:tcW w:w="1215" w:type="dxa"/>
            <w:vAlign w:val="center"/>
          </w:tcPr>
          <w:p w14:paraId="47F64479">
            <w:pPr>
              <w:jc w:val="left"/>
              <w:rPr>
                <w:rFonts w:ascii="宋体" w:cs="宋体"/>
                <w:color w:val="000000"/>
                <w:sz w:val="22"/>
              </w:rPr>
            </w:pPr>
            <w:r>
              <w:rPr>
                <w:rFonts w:hint="eastAsia" w:ascii="宋体" w:hAnsi="宋体" w:cs="宋体"/>
                <w:color w:val="000000"/>
                <w:sz w:val="22"/>
              </w:rPr>
              <w:t>　</w:t>
            </w:r>
          </w:p>
        </w:tc>
        <w:tc>
          <w:tcPr>
            <w:tcW w:w="1478" w:type="dxa"/>
            <w:vAlign w:val="center"/>
          </w:tcPr>
          <w:p w14:paraId="53DA0E6C">
            <w:pPr>
              <w:jc w:val="left"/>
              <w:rPr>
                <w:rFonts w:ascii="宋体" w:cs="宋体"/>
                <w:color w:val="000000"/>
                <w:sz w:val="22"/>
              </w:rPr>
            </w:pPr>
          </w:p>
        </w:tc>
        <w:tc>
          <w:tcPr>
            <w:tcW w:w="1276" w:type="dxa"/>
            <w:vAlign w:val="center"/>
          </w:tcPr>
          <w:p w14:paraId="351C1D3E">
            <w:pPr>
              <w:jc w:val="left"/>
              <w:rPr>
                <w:rFonts w:ascii="宋体" w:cs="宋体"/>
                <w:color w:val="000000"/>
                <w:sz w:val="22"/>
              </w:rPr>
            </w:pPr>
            <w:r>
              <w:rPr>
                <w:rFonts w:hint="eastAsia" w:ascii="宋体" w:hAnsi="宋体" w:cs="宋体"/>
                <w:color w:val="000000"/>
                <w:sz w:val="22"/>
              </w:rPr>
              <w:t>　</w:t>
            </w:r>
          </w:p>
        </w:tc>
        <w:tc>
          <w:tcPr>
            <w:tcW w:w="1134" w:type="dxa"/>
            <w:vAlign w:val="center"/>
          </w:tcPr>
          <w:p w14:paraId="70C9A498">
            <w:pPr>
              <w:jc w:val="left"/>
              <w:rPr>
                <w:rFonts w:ascii="宋体" w:cs="宋体"/>
                <w:color w:val="000000"/>
                <w:sz w:val="22"/>
              </w:rPr>
            </w:pPr>
            <w:r>
              <w:rPr>
                <w:rFonts w:hint="eastAsia" w:ascii="宋体" w:hAnsi="宋体" w:cs="宋体"/>
                <w:color w:val="000000"/>
                <w:sz w:val="22"/>
              </w:rPr>
              <w:t>　</w:t>
            </w:r>
          </w:p>
        </w:tc>
        <w:tc>
          <w:tcPr>
            <w:tcW w:w="709" w:type="dxa"/>
            <w:vAlign w:val="center"/>
          </w:tcPr>
          <w:p w14:paraId="2011411B">
            <w:pPr>
              <w:jc w:val="left"/>
              <w:rPr>
                <w:rFonts w:ascii="宋体" w:cs="宋体"/>
                <w:color w:val="000000"/>
                <w:sz w:val="22"/>
              </w:rPr>
            </w:pPr>
            <w:r>
              <w:rPr>
                <w:rFonts w:hint="eastAsia" w:ascii="宋体" w:hAnsi="宋体" w:cs="宋体"/>
                <w:color w:val="000000"/>
                <w:sz w:val="22"/>
              </w:rPr>
              <w:t>　</w:t>
            </w:r>
          </w:p>
        </w:tc>
        <w:tc>
          <w:tcPr>
            <w:tcW w:w="709" w:type="dxa"/>
            <w:vAlign w:val="center"/>
          </w:tcPr>
          <w:p w14:paraId="010377DC">
            <w:pPr>
              <w:jc w:val="left"/>
              <w:rPr>
                <w:rFonts w:ascii="宋体" w:cs="宋体"/>
                <w:color w:val="000000"/>
                <w:sz w:val="22"/>
              </w:rPr>
            </w:pPr>
            <w:r>
              <w:rPr>
                <w:rFonts w:hint="eastAsia" w:ascii="宋体" w:hAnsi="宋体" w:cs="宋体"/>
                <w:color w:val="000000"/>
                <w:sz w:val="22"/>
              </w:rPr>
              <w:t>　</w:t>
            </w:r>
          </w:p>
        </w:tc>
        <w:tc>
          <w:tcPr>
            <w:tcW w:w="708" w:type="dxa"/>
            <w:vAlign w:val="center"/>
          </w:tcPr>
          <w:p w14:paraId="40E1A8F9">
            <w:pPr>
              <w:jc w:val="left"/>
              <w:rPr>
                <w:rFonts w:ascii="宋体" w:cs="宋体"/>
                <w:color w:val="000000"/>
                <w:sz w:val="22"/>
              </w:rPr>
            </w:pPr>
            <w:r>
              <w:rPr>
                <w:rFonts w:hint="eastAsia" w:ascii="宋体" w:hAnsi="宋体" w:cs="宋体"/>
                <w:color w:val="000000"/>
                <w:sz w:val="22"/>
              </w:rPr>
              <w:t>　</w:t>
            </w:r>
          </w:p>
        </w:tc>
        <w:tc>
          <w:tcPr>
            <w:tcW w:w="993" w:type="dxa"/>
            <w:vAlign w:val="center"/>
          </w:tcPr>
          <w:p w14:paraId="6964B57A">
            <w:pPr>
              <w:jc w:val="left"/>
              <w:rPr>
                <w:rFonts w:ascii="宋体" w:cs="宋体"/>
                <w:color w:val="000000"/>
                <w:sz w:val="22"/>
              </w:rPr>
            </w:pPr>
            <w:r>
              <w:rPr>
                <w:rFonts w:hint="eastAsia" w:ascii="宋体" w:hAnsi="宋体" w:cs="宋体"/>
                <w:color w:val="000000"/>
                <w:sz w:val="22"/>
              </w:rPr>
              <w:t>　</w:t>
            </w:r>
          </w:p>
        </w:tc>
      </w:tr>
      <w:tr w14:paraId="64AC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418043B7">
            <w:pPr>
              <w:jc w:val="left"/>
              <w:rPr>
                <w:rFonts w:ascii="宋体" w:cs="宋体"/>
                <w:color w:val="000000"/>
                <w:sz w:val="22"/>
              </w:rPr>
            </w:pPr>
            <w:r>
              <w:rPr>
                <w:rFonts w:hint="eastAsia" w:ascii="宋体" w:hAnsi="宋体" w:cs="宋体"/>
                <w:color w:val="000000"/>
                <w:sz w:val="22"/>
              </w:rPr>
              <w:t>　</w:t>
            </w:r>
          </w:p>
        </w:tc>
        <w:tc>
          <w:tcPr>
            <w:tcW w:w="1215" w:type="dxa"/>
            <w:vAlign w:val="center"/>
          </w:tcPr>
          <w:p w14:paraId="10011B0A">
            <w:pPr>
              <w:jc w:val="left"/>
              <w:rPr>
                <w:rFonts w:ascii="宋体" w:cs="宋体"/>
                <w:color w:val="000000"/>
                <w:sz w:val="22"/>
              </w:rPr>
            </w:pPr>
            <w:r>
              <w:rPr>
                <w:rFonts w:hint="eastAsia" w:ascii="宋体" w:hAnsi="宋体" w:cs="宋体"/>
                <w:color w:val="000000"/>
                <w:sz w:val="22"/>
              </w:rPr>
              <w:t>　</w:t>
            </w:r>
          </w:p>
        </w:tc>
        <w:tc>
          <w:tcPr>
            <w:tcW w:w="1478" w:type="dxa"/>
            <w:vAlign w:val="center"/>
          </w:tcPr>
          <w:p w14:paraId="4884752C">
            <w:pPr>
              <w:jc w:val="left"/>
              <w:rPr>
                <w:rFonts w:ascii="宋体" w:cs="宋体"/>
                <w:color w:val="000000"/>
                <w:sz w:val="22"/>
              </w:rPr>
            </w:pPr>
          </w:p>
        </w:tc>
        <w:tc>
          <w:tcPr>
            <w:tcW w:w="1276" w:type="dxa"/>
            <w:vAlign w:val="center"/>
          </w:tcPr>
          <w:p w14:paraId="39A5ECF9">
            <w:pPr>
              <w:jc w:val="left"/>
              <w:rPr>
                <w:rFonts w:ascii="宋体" w:cs="宋体"/>
                <w:color w:val="000000"/>
                <w:sz w:val="22"/>
              </w:rPr>
            </w:pPr>
            <w:r>
              <w:rPr>
                <w:rFonts w:hint="eastAsia" w:ascii="宋体" w:hAnsi="宋体" w:cs="宋体"/>
                <w:color w:val="000000"/>
                <w:sz w:val="22"/>
              </w:rPr>
              <w:t>　</w:t>
            </w:r>
          </w:p>
        </w:tc>
        <w:tc>
          <w:tcPr>
            <w:tcW w:w="1134" w:type="dxa"/>
            <w:vAlign w:val="center"/>
          </w:tcPr>
          <w:p w14:paraId="7541A971">
            <w:pPr>
              <w:jc w:val="left"/>
              <w:rPr>
                <w:rFonts w:ascii="宋体" w:cs="宋体"/>
                <w:color w:val="000000"/>
                <w:sz w:val="22"/>
              </w:rPr>
            </w:pPr>
            <w:r>
              <w:rPr>
                <w:rFonts w:hint="eastAsia" w:ascii="宋体" w:hAnsi="宋体" w:cs="宋体"/>
                <w:color w:val="000000"/>
                <w:sz w:val="22"/>
              </w:rPr>
              <w:t>　</w:t>
            </w:r>
          </w:p>
        </w:tc>
        <w:tc>
          <w:tcPr>
            <w:tcW w:w="709" w:type="dxa"/>
            <w:vAlign w:val="center"/>
          </w:tcPr>
          <w:p w14:paraId="0CA37243">
            <w:pPr>
              <w:jc w:val="left"/>
              <w:rPr>
                <w:rFonts w:ascii="宋体" w:cs="宋体"/>
                <w:color w:val="000000"/>
                <w:sz w:val="22"/>
              </w:rPr>
            </w:pPr>
            <w:r>
              <w:rPr>
                <w:rFonts w:hint="eastAsia" w:ascii="宋体" w:hAnsi="宋体" w:cs="宋体"/>
                <w:color w:val="000000"/>
                <w:sz w:val="22"/>
              </w:rPr>
              <w:t>　</w:t>
            </w:r>
          </w:p>
        </w:tc>
        <w:tc>
          <w:tcPr>
            <w:tcW w:w="709" w:type="dxa"/>
            <w:vAlign w:val="center"/>
          </w:tcPr>
          <w:p w14:paraId="2FBA3DDF">
            <w:pPr>
              <w:jc w:val="left"/>
              <w:rPr>
                <w:rFonts w:ascii="宋体" w:cs="宋体"/>
                <w:color w:val="000000"/>
                <w:sz w:val="22"/>
              </w:rPr>
            </w:pPr>
            <w:r>
              <w:rPr>
                <w:rFonts w:hint="eastAsia" w:ascii="宋体" w:hAnsi="宋体" w:cs="宋体"/>
                <w:color w:val="000000"/>
                <w:sz w:val="22"/>
              </w:rPr>
              <w:t>　</w:t>
            </w:r>
          </w:p>
        </w:tc>
        <w:tc>
          <w:tcPr>
            <w:tcW w:w="708" w:type="dxa"/>
            <w:vAlign w:val="center"/>
          </w:tcPr>
          <w:p w14:paraId="1DAC5920">
            <w:pPr>
              <w:jc w:val="left"/>
              <w:rPr>
                <w:rFonts w:ascii="宋体" w:cs="宋体"/>
                <w:color w:val="000000"/>
                <w:sz w:val="22"/>
              </w:rPr>
            </w:pPr>
            <w:r>
              <w:rPr>
                <w:rFonts w:hint="eastAsia" w:ascii="宋体" w:hAnsi="宋体" w:cs="宋体"/>
                <w:color w:val="000000"/>
                <w:sz w:val="22"/>
              </w:rPr>
              <w:t>　</w:t>
            </w:r>
          </w:p>
        </w:tc>
        <w:tc>
          <w:tcPr>
            <w:tcW w:w="993" w:type="dxa"/>
            <w:vAlign w:val="center"/>
          </w:tcPr>
          <w:p w14:paraId="2009DBE0">
            <w:pPr>
              <w:jc w:val="left"/>
              <w:rPr>
                <w:rFonts w:ascii="宋体" w:cs="宋体"/>
                <w:color w:val="000000"/>
                <w:sz w:val="22"/>
              </w:rPr>
            </w:pPr>
            <w:r>
              <w:rPr>
                <w:rFonts w:hint="eastAsia" w:ascii="宋体" w:hAnsi="宋体" w:cs="宋体"/>
                <w:color w:val="000000"/>
                <w:sz w:val="22"/>
              </w:rPr>
              <w:t>　</w:t>
            </w:r>
          </w:p>
        </w:tc>
      </w:tr>
      <w:tr w14:paraId="356F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7E6D3C45">
            <w:pPr>
              <w:jc w:val="left"/>
              <w:rPr>
                <w:rFonts w:ascii="宋体" w:cs="宋体"/>
                <w:color w:val="000000"/>
                <w:sz w:val="22"/>
              </w:rPr>
            </w:pPr>
            <w:r>
              <w:rPr>
                <w:rFonts w:hint="eastAsia" w:ascii="宋体" w:hAnsi="宋体" w:cs="宋体"/>
                <w:color w:val="000000"/>
                <w:sz w:val="22"/>
              </w:rPr>
              <w:t>　</w:t>
            </w:r>
          </w:p>
        </w:tc>
        <w:tc>
          <w:tcPr>
            <w:tcW w:w="1215" w:type="dxa"/>
            <w:vAlign w:val="center"/>
          </w:tcPr>
          <w:p w14:paraId="5390FDEF">
            <w:pPr>
              <w:jc w:val="left"/>
              <w:rPr>
                <w:rFonts w:ascii="宋体" w:cs="宋体"/>
                <w:color w:val="000000"/>
                <w:sz w:val="22"/>
              </w:rPr>
            </w:pPr>
            <w:r>
              <w:rPr>
                <w:rFonts w:hint="eastAsia" w:ascii="宋体" w:hAnsi="宋体" w:cs="宋体"/>
                <w:color w:val="000000"/>
                <w:sz w:val="22"/>
              </w:rPr>
              <w:t>　</w:t>
            </w:r>
          </w:p>
        </w:tc>
        <w:tc>
          <w:tcPr>
            <w:tcW w:w="1478" w:type="dxa"/>
            <w:vAlign w:val="center"/>
          </w:tcPr>
          <w:p w14:paraId="7CFB4D19">
            <w:pPr>
              <w:jc w:val="left"/>
              <w:rPr>
                <w:rFonts w:ascii="宋体" w:cs="宋体"/>
                <w:color w:val="000000"/>
                <w:sz w:val="22"/>
              </w:rPr>
            </w:pPr>
          </w:p>
        </w:tc>
        <w:tc>
          <w:tcPr>
            <w:tcW w:w="1276" w:type="dxa"/>
            <w:vAlign w:val="center"/>
          </w:tcPr>
          <w:p w14:paraId="10FBB148">
            <w:pPr>
              <w:jc w:val="left"/>
              <w:rPr>
                <w:rFonts w:ascii="宋体" w:cs="宋体"/>
                <w:color w:val="000000"/>
                <w:sz w:val="22"/>
              </w:rPr>
            </w:pPr>
            <w:r>
              <w:rPr>
                <w:rFonts w:hint="eastAsia" w:ascii="宋体" w:hAnsi="宋体" w:cs="宋体"/>
                <w:color w:val="000000"/>
                <w:sz w:val="22"/>
              </w:rPr>
              <w:t>　</w:t>
            </w:r>
          </w:p>
        </w:tc>
        <w:tc>
          <w:tcPr>
            <w:tcW w:w="1134" w:type="dxa"/>
            <w:vAlign w:val="center"/>
          </w:tcPr>
          <w:p w14:paraId="5B005CA7">
            <w:pPr>
              <w:jc w:val="left"/>
              <w:rPr>
                <w:rFonts w:ascii="宋体" w:cs="宋体"/>
                <w:color w:val="000000"/>
                <w:sz w:val="22"/>
              </w:rPr>
            </w:pPr>
            <w:r>
              <w:rPr>
                <w:rFonts w:hint="eastAsia" w:ascii="宋体" w:hAnsi="宋体" w:cs="宋体"/>
                <w:color w:val="000000"/>
                <w:sz w:val="22"/>
              </w:rPr>
              <w:t>　</w:t>
            </w:r>
          </w:p>
        </w:tc>
        <w:tc>
          <w:tcPr>
            <w:tcW w:w="709" w:type="dxa"/>
            <w:vAlign w:val="center"/>
          </w:tcPr>
          <w:p w14:paraId="68AB8A33">
            <w:pPr>
              <w:jc w:val="left"/>
              <w:rPr>
                <w:rFonts w:ascii="宋体" w:cs="宋体"/>
                <w:color w:val="000000"/>
                <w:sz w:val="22"/>
              </w:rPr>
            </w:pPr>
            <w:r>
              <w:rPr>
                <w:rFonts w:hint="eastAsia" w:ascii="宋体" w:hAnsi="宋体" w:cs="宋体"/>
                <w:color w:val="000000"/>
                <w:sz w:val="22"/>
              </w:rPr>
              <w:t>　</w:t>
            </w:r>
          </w:p>
        </w:tc>
        <w:tc>
          <w:tcPr>
            <w:tcW w:w="709" w:type="dxa"/>
            <w:vAlign w:val="center"/>
          </w:tcPr>
          <w:p w14:paraId="3F5B6ACF">
            <w:pPr>
              <w:jc w:val="left"/>
              <w:rPr>
                <w:rFonts w:ascii="宋体" w:cs="宋体"/>
                <w:color w:val="000000"/>
                <w:sz w:val="22"/>
              </w:rPr>
            </w:pPr>
            <w:r>
              <w:rPr>
                <w:rFonts w:hint="eastAsia" w:ascii="宋体" w:hAnsi="宋体" w:cs="宋体"/>
                <w:color w:val="000000"/>
                <w:sz w:val="22"/>
              </w:rPr>
              <w:t>　</w:t>
            </w:r>
          </w:p>
        </w:tc>
        <w:tc>
          <w:tcPr>
            <w:tcW w:w="708" w:type="dxa"/>
            <w:vAlign w:val="center"/>
          </w:tcPr>
          <w:p w14:paraId="502B907F">
            <w:pPr>
              <w:jc w:val="left"/>
              <w:rPr>
                <w:rFonts w:ascii="宋体" w:cs="宋体"/>
                <w:color w:val="000000"/>
                <w:sz w:val="22"/>
              </w:rPr>
            </w:pPr>
            <w:r>
              <w:rPr>
                <w:rFonts w:hint="eastAsia" w:ascii="宋体" w:hAnsi="宋体" w:cs="宋体"/>
                <w:color w:val="000000"/>
                <w:sz w:val="22"/>
              </w:rPr>
              <w:t>　</w:t>
            </w:r>
          </w:p>
        </w:tc>
        <w:tc>
          <w:tcPr>
            <w:tcW w:w="993" w:type="dxa"/>
            <w:vAlign w:val="center"/>
          </w:tcPr>
          <w:p w14:paraId="202EC4BD">
            <w:pPr>
              <w:jc w:val="left"/>
              <w:rPr>
                <w:rFonts w:ascii="宋体" w:cs="宋体"/>
                <w:color w:val="000000"/>
                <w:sz w:val="22"/>
              </w:rPr>
            </w:pPr>
            <w:r>
              <w:rPr>
                <w:rFonts w:hint="eastAsia" w:ascii="宋体" w:hAnsi="宋体" w:cs="宋体"/>
                <w:color w:val="000000"/>
                <w:sz w:val="22"/>
              </w:rPr>
              <w:t>　</w:t>
            </w:r>
          </w:p>
        </w:tc>
      </w:tr>
      <w:tr w14:paraId="22A4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12C639B6">
            <w:pPr>
              <w:jc w:val="left"/>
              <w:rPr>
                <w:rFonts w:ascii="宋体" w:cs="宋体"/>
                <w:color w:val="000000"/>
                <w:sz w:val="22"/>
              </w:rPr>
            </w:pPr>
            <w:r>
              <w:rPr>
                <w:rFonts w:hint="eastAsia" w:ascii="宋体" w:hAnsi="宋体" w:cs="宋体"/>
                <w:color w:val="000000"/>
                <w:sz w:val="22"/>
              </w:rPr>
              <w:t>　</w:t>
            </w:r>
          </w:p>
        </w:tc>
        <w:tc>
          <w:tcPr>
            <w:tcW w:w="1215" w:type="dxa"/>
            <w:vAlign w:val="center"/>
          </w:tcPr>
          <w:p w14:paraId="51E1AAF2">
            <w:pPr>
              <w:jc w:val="left"/>
              <w:rPr>
                <w:rFonts w:ascii="宋体" w:cs="宋体"/>
                <w:color w:val="000000"/>
                <w:sz w:val="22"/>
              </w:rPr>
            </w:pPr>
            <w:r>
              <w:rPr>
                <w:rFonts w:hint="eastAsia" w:ascii="宋体" w:hAnsi="宋体" w:cs="宋体"/>
                <w:color w:val="000000"/>
                <w:sz w:val="22"/>
              </w:rPr>
              <w:t>　</w:t>
            </w:r>
          </w:p>
        </w:tc>
        <w:tc>
          <w:tcPr>
            <w:tcW w:w="1478" w:type="dxa"/>
            <w:vAlign w:val="center"/>
          </w:tcPr>
          <w:p w14:paraId="17F56629">
            <w:pPr>
              <w:jc w:val="left"/>
              <w:rPr>
                <w:rFonts w:ascii="宋体" w:cs="宋体"/>
                <w:color w:val="000000"/>
                <w:sz w:val="22"/>
              </w:rPr>
            </w:pPr>
          </w:p>
        </w:tc>
        <w:tc>
          <w:tcPr>
            <w:tcW w:w="1276" w:type="dxa"/>
            <w:vAlign w:val="center"/>
          </w:tcPr>
          <w:p w14:paraId="50BD92A0">
            <w:pPr>
              <w:jc w:val="left"/>
              <w:rPr>
                <w:rFonts w:ascii="宋体" w:cs="宋体"/>
                <w:color w:val="000000"/>
                <w:sz w:val="22"/>
              </w:rPr>
            </w:pPr>
            <w:r>
              <w:rPr>
                <w:rFonts w:hint="eastAsia" w:ascii="宋体" w:hAnsi="宋体" w:cs="宋体"/>
                <w:color w:val="000000"/>
                <w:sz w:val="22"/>
              </w:rPr>
              <w:t>　</w:t>
            </w:r>
          </w:p>
        </w:tc>
        <w:tc>
          <w:tcPr>
            <w:tcW w:w="1134" w:type="dxa"/>
            <w:vAlign w:val="center"/>
          </w:tcPr>
          <w:p w14:paraId="37629C03">
            <w:pPr>
              <w:jc w:val="left"/>
              <w:rPr>
                <w:rFonts w:ascii="宋体" w:cs="宋体"/>
                <w:color w:val="000000"/>
                <w:sz w:val="22"/>
              </w:rPr>
            </w:pPr>
            <w:r>
              <w:rPr>
                <w:rFonts w:hint="eastAsia" w:ascii="宋体" w:hAnsi="宋体" w:cs="宋体"/>
                <w:color w:val="000000"/>
                <w:sz w:val="22"/>
              </w:rPr>
              <w:t>　</w:t>
            </w:r>
          </w:p>
        </w:tc>
        <w:tc>
          <w:tcPr>
            <w:tcW w:w="709" w:type="dxa"/>
            <w:vAlign w:val="center"/>
          </w:tcPr>
          <w:p w14:paraId="2901331B">
            <w:pPr>
              <w:jc w:val="left"/>
              <w:rPr>
                <w:rFonts w:ascii="宋体" w:cs="宋体"/>
                <w:color w:val="000000"/>
                <w:sz w:val="22"/>
              </w:rPr>
            </w:pPr>
            <w:r>
              <w:rPr>
                <w:rFonts w:hint="eastAsia" w:ascii="宋体" w:hAnsi="宋体" w:cs="宋体"/>
                <w:color w:val="000000"/>
                <w:sz w:val="22"/>
              </w:rPr>
              <w:t>　</w:t>
            </w:r>
          </w:p>
        </w:tc>
        <w:tc>
          <w:tcPr>
            <w:tcW w:w="709" w:type="dxa"/>
            <w:vAlign w:val="center"/>
          </w:tcPr>
          <w:p w14:paraId="0FC754D9">
            <w:pPr>
              <w:jc w:val="left"/>
              <w:rPr>
                <w:rFonts w:ascii="宋体" w:cs="宋体"/>
                <w:color w:val="000000"/>
                <w:sz w:val="22"/>
              </w:rPr>
            </w:pPr>
            <w:r>
              <w:rPr>
                <w:rFonts w:hint="eastAsia" w:ascii="宋体" w:hAnsi="宋体" w:cs="宋体"/>
                <w:color w:val="000000"/>
                <w:sz w:val="22"/>
              </w:rPr>
              <w:t>　</w:t>
            </w:r>
          </w:p>
        </w:tc>
        <w:tc>
          <w:tcPr>
            <w:tcW w:w="708" w:type="dxa"/>
            <w:vAlign w:val="center"/>
          </w:tcPr>
          <w:p w14:paraId="5F3E48E9">
            <w:pPr>
              <w:jc w:val="left"/>
              <w:rPr>
                <w:rFonts w:ascii="宋体" w:cs="宋体"/>
                <w:color w:val="000000"/>
                <w:sz w:val="22"/>
              </w:rPr>
            </w:pPr>
            <w:r>
              <w:rPr>
                <w:rFonts w:hint="eastAsia" w:ascii="宋体" w:hAnsi="宋体" w:cs="宋体"/>
                <w:color w:val="000000"/>
                <w:sz w:val="22"/>
              </w:rPr>
              <w:t>　</w:t>
            </w:r>
          </w:p>
        </w:tc>
        <w:tc>
          <w:tcPr>
            <w:tcW w:w="993" w:type="dxa"/>
            <w:vAlign w:val="center"/>
          </w:tcPr>
          <w:p w14:paraId="49EF579C">
            <w:pPr>
              <w:jc w:val="left"/>
              <w:rPr>
                <w:rFonts w:ascii="宋体" w:cs="宋体"/>
                <w:color w:val="000000"/>
                <w:sz w:val="22"/>
              </w:rPr>
            </w:pPr>
            <w:r>
              <w:rPr>
                <w:rFonts w:hint="eastAsia" w:ascii="宋体" w:hAnsi="宋体" w:cs="宋体"/>
                <w:color w:val="000000"/>
                <w:sz w:val="22"/>
              </w:rPr>
              <w:t>　</w:t>
            </w:r>
          </w:p>
        </w:tc>
      </w:tr>
      <w:tr w14:paraId="3178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31DF130B">
            <w:pPr>
              <w:jc w:val="left"/>
              <w:rPr>
                <w:rFonts w:ascii="宋体" w:cs="宋体"/>
                <w:color w:val="000000"/>
                <w:sz w:val="22"/>
              </w:rPr>
            </w:pPr>
            <w:r>
              <w:rPr>
                <w:rFonts w:hint="eastAsia" w:ascii="宋体" w:hAnsi="宋体" w:cs="宋体"/>
                <w:color w:val="000000"/>
                <w:sz w:val="22"/>
              </w:rPr>
              <w:t>　</w:t>
            </w:r>
          </w:p>
        </w:tc>
        <w:tc>
          <w:tcPr>
            <w:tcW w:w="1215" w:type="dxa"/>
            <w:vAlign w:val="center"/>
          </w:tcPr>
          <w:p w14:paraId="0F908BBF">
            <w:pPr>
              <w:jc w:val="left"/>
              <w:rPr>
                <w:rFonts w:ascii="宋体" w:cs="宋体"/>
                <w:color w:val="000000"/>
                <w:sz w:val="22"/>
              </w:rPr>
            </w:pPr>
            <w:r>
              <w:rPr>
                <w:rFonts w:hint="eastAsia" w:ascii="宋体" w:hAnsi="宋体" w:cs="宋体"/>
                <w:color w:val="000000"/>
                <w:sz w:val="22"/>
              </w:rPr>
              <w:t>　</w:t>
            </w:r>
          </w:p>
        </w:tc>
        <w:tc>
          <w:tcPr>
            <w:tcW w:w="1478" w:type="dxa"/>
            <w:vAlign w:val="center"/>
          </w:tcPr>
          <w:p w14:paraId="6EC32CD7">
            <w:pPr>
              <w:jc w:val="left"/>
              <w:rPr>
                <w:rFonts w:ascii="宋体" w:cs="宋体"/>
                <w:color w:val="000000"/>
                <w:sz w:val="22"/>
              </w:rPr>
            </w:pPr>
          </w:p>
        </w:tc>
        <w:tc>
          <w:tcPr>
            <w:tcW w:w="1276" w:type="dxa"/>
            <w:vAlign w:val="center"/>
          </w:tcPr>
          <w:p w14:paraId="69FD079F">
            <w:pPr>
              <w:jc w:val="left"/>
              <w:rPr>
                <w:rFonts w:ascii="宋体" w:cs="宋体"/>
                <w:color w:val="000000"/>
                <w:sz w:val="22"/>
              </w:rPr>
            </w:pPr>
            <w:r>
              <w:rPr>
                <w:rFonts w:hint="eastAsia" w:ascii="宋体" w:hAnsi="宋体" w:cs="宋体"/>
                <w:color w:val="000000"/>
                <w:sz w:val="22"/>
              </w:rPr>
              <w:t>　</w:t>
            </w:r>
          </w:p>
        </w:tc>
        <w:tc>
          <w:tcPr>
            <w:tcW w:w="1134" w:type="dxa"/>
            <w:vAlign w:val="center"/>
          </w:tcPr>
          <w:p w14:paraId="4C8E6CDF">
            <w:pPr>
              <w:jc w:val="left"/>
              <w:rPr>
                <w:rFonts w:ascii="宋体" w:cs="宋体"/>
                <w:color w:val="000000"/>
                <w:sz w:val="22"/>
              </w:rPr>
            </w:pPr>
            <w:r>
              <w:rPr>
                <w:rFonts w:hint="eastAsia" w:ascii="宋体" w:hAnsi="宋体" w:cs="宋体"/>
                <w:color w:val="000000"/>
                <w:sz w:val="22"/>
              </w:rPr>
              <w:t>　</w:t>
            </w:r>
          </w:p>
        </w:tc>
        <w:tc>
          <w:tcPr>
            <w:tcW w:w="709" w:type="dxa"/>
            <w:vAlign w:val="center"/>
          </w:tcPr>
          <w:p w14:paraId="1B7FFEB6">
            <w:pPr>
              <w:jc w:val="left"/>
              <w:rPr>
                <w:rFonts w:ascii="宋体" w:cs="宋体"/>
                <w:color w:val="000000"/>
                <w:sz w:val="22"/>
              </w:rPr>
            </w:pPr>
            <w:r>
              <w:rPr>
                <w:rFonts w:hint="eastAsia" w:ascii="宋体" w:hAnsi="宋体" w:cs="宋体"/>
                <w:color w:val="000000"/>
                <w:sz w:val="22"/>
              </w:rPr>
              <w:t>　</w:t>
            </w:r>
          </w:p>
        </w:tc>
        <w:tc>
          <w:tcPr>
            <w:tcW w:w="709" w:type="dxa"/>
            <w:vAlign w:val="center"/>
          </w:tcPr>
          <w:p w14:paraId="4D20D519">
            <w:pPr>
              <w:jc w:val="left"/>
              <w:rPr>
                <w:rFonts w:ascii="宋体" w:cs="宋体"/>
                <w:color w:val="000000"/>
                <w:sz w:val="22"/>
              </w:rPr>
            </w:pPr>
            <w:r>
              <w:rPr>
                <w:rFonts w:hint="eastAsia" w:ascii="宋体" w:hAnsi="宋体" w:cs="宋体"/>
                <w:color w:val="000000"/>
                <w:sz w:val="22"/>
              </w:rPr>
              <w:t>　</w:t>
            </w:r>
          </w:p>
        </w:tc>
        <w:tc>
          <w:tcPr>
            <w:tcW w:w="708" w:type="dxa"/>
            <w:vAlign w:val="center"/>
          </w:tcPr>
          <w:p w14:paraId="2BCA8F6F">
            <w:pPr>
              <w:jc w:val="left"/>
              <w:rPr>
                <w:rFonts w:ascii="宋体" w:cs="宋体"/>
                <w:color w:val="000000"/>
                <w:sz w:val="22"/>
              </w:rPr>
            </w:pPr>
            <w:r>
              <w:rPr>
                <w:rFonts w:hint="eastAsia" w:ascii="宋体" w:hAnsi="宋体" w:cs="宋体"/>
                <w:color w:val="000000"/>
                <w:sz w:val="22"/>
              </w:rPr>
              <w:t>　</w:t>
            </w:r>
          </w:p>
        </w:tc>
        <w:tc>
          <w:tcPr>
            <w:tcW w:w="993" w:type="dxa"/>
            <w:vAlign w:val="center"/>
          </w:tcPr>
          <w:p w14:paraId="16626581">
            <w:pPr>
              <w:jc w:val="left"/>
              <w:rPr>
                <w:rFonts w:ascii="宋体" w:cs="宋体"/>
                <w:color w:val="000000"/>
                <w:sz w:val="22"/>
              </w:rPr>
            </w:pPr>
            <w:r>
              <w:rPr>
                <w:rFonts w:hint="eastAsia" w:ascii="宋体" w:hAnsi="宋体" w:cs="宋体"/>
                <w:color w:val="000000"/>
                <w:sz w:val="22"/>
              </w:rPr>
              <w:t>　</w:t>
            </w:r>
          </w:p>
        </w:tc>
      </w:tr>
      <w:tr w14:paraId="09C6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Align w:val="center"/>
          </w:tcPr>
          <w:p w14:paraId="67CE4161">
            <w:pPr>
              <w:jc w:val="left"/>
              <w:rPr>
                <w:rFonts w:ascii="宋体" w:cs="宋体"/>
                <w:color w:val="000000"/>
                <w:sz w:val="22"/>
              </w:rPr>
            </w:pPr>
            <w:r>
              <w:rPr>
                <w:rFonts w:hint="eastAsia" w:ascii="宋体" w:hAnsi="宋体" w:cs="宋体"/>
                <w:color w:val="000000"/>
                <w:sz w:val="22"/>
              </w:rPr>
              <w:t>　</w:t>
            </w:r>
          </w:p>
        </w:tc>
        <w:tc>
          <w:tcPr>
            <w:tcW w:w="1215" w:type="dxa"/>
            <w:vAlign w:val="center"/>
          </w:tcPr>
          <w:p w14:paraId="71F10DFE">
            <w:pPr>
              <w:jc w:val="left"/>
              <w:rPr>
                <w:rFonts w:ascii="宋体" w:cs="宋体"/>
                <w:color w:val="000000"/>
                <w:sz w:val="22"/>
              </w:rPr>
            </w:pPr>
            <w:r>
              <w:rPr>
                <w:rFonts w:hint="eastAsia" w:ascii="宋体" w:hAnsi="宋体" w:cs="宋体"/>
                <w:color w:val="000000"/>
                <w:sz w:val="22"/>
              </w:rPr>
              <w:t>　</w:t>
            </w:r>
          </w:p>
        </w:tc>
        <w:tc>
          <w:tcPr>
            <w:tcW w:w="1478" w:type="dxa"/>
            <w:vAlign w:val="center"/>
          </w:tcPr>
          <w:p w14:paraId="11693D88">
            <w:pPr>
              <w:jc w:val="left"/>
              <w:rPr>
                <w:rFonts w:ascii="宋体" w:cs="宋体"/>
                <w:color w:val="000000"/>
                <w:sz w:val="22"/>
              </w:rPr>
            </w:pPr>
          </w:p>
        </w:tc>
        <w:tc>
          <w:tcPr>
            <w:tcW w:w="1276" w:type="dxa"/>
            <w:vAlign w:val="center"/>
          </w:tcPr>
          <w:p w14:paraId="465DECB3">
            <w:pPr>
              <w:jc w:val="left"/>
              <w:rPr>
                <w:rFonts w:ascii="宋体" w:cs="宋体"/>
                <w:color w:val="000000"/>
                <w:sz w:val="22"/>
              </w:rPr>
            </w:pPr>
            <w:r>
              <w:rPr>
                <w:rFonts w:hint="eastAsia" w:ascii="宋体" w:hAnsi="宋体" w:cs="宋体"/>
                <w:color w:val="000000"/>
                <w:sz w:val="22"/>
              </w:rPr>
              <w:t>　</w:t>
            </w:r>
          </w:p>
        </w:tc>
        <w:tc>
          <w:tcPr>
            <w:tcW w:w="1134" w:type="dxa"/>
            <w:vAlign w:val="center"/>
          </w:tcPr>
          <w:p w14:paraId="04DCBC6C">
            <w:pPr>
              <w:jc w:val="left"/>
              <w:rPr>
                <w:rFonts w:ascii="宋体" w:cs="宋体"/>
                <w:color w:val="000000"/>
                <w:sz w:val="22"/>
              </w:rPr>
            </w:pPr>
            <w:r>
              <w:rPr>
                <w:rFonts w:hint="eastAsia" w:ascii="宋体" w:hAnsi="宋体" w:cs="宋体"/>
                <w:color w:val="000000"/>
                <w:sz w:val="22"/>
              </w:rPr>
              <w:t>　</w:t>
            </w:r>
          </w:p>
        </w:tc>
        <w:tc>
          <w:tcPr>
            <w:tcW w:w="709" w:type="dxa"/>
            <w:vAlign w:val="center"/>
          </w:tcPr>
          <w:p w14:paraId="0D11B562">
            <w:pPr>
              <w:jc w:val="left"/>
              <w:rPr>
                <w:rFonts w:ascii="宋体" w:cs="宋体"/>
                <w:color w:val="000000"/>
                <w:sz w:val="22"/>
              </w:rPr>
            </w:pPr>
            <w:r>
              <w:rPr>
                <w:rFonts w:hint="eastAsia" w:ascii="宋体" w:hAnsi="宋体" w:cs="宋体"/>
                <w:color w:val="000000"/>
                <w:sz w:val="22"/>
              </w:rPr>
              <w:t>　</w:t>
            </w:r>
          </w:p>
        </w:tc>
        <w:tc>
          <w:tcPr>
            <w:tcW w:w="709" w:type="dxa"/>
            <w:vAlign w:val="center"/>
          </w:tcPr>
          <w:p w14:paraId="57E6A054">
            <w:pPr>
              <w:jc w:val="left"/>
              <w:rPr>
                <w:rFonts w:ascii="宋体" w:cs="宋体"/>
                <w:color w:val="000000"/>
                <w:sz w:val="22"/>
              </w:rPr>
            </w:pPr>
            <w:r>
              <w:rPr>
                <w:rFonts w:hint="eastAsia" w:ascii="宋体" w:hAnsi="宋体" w:cs="宋体"/>
                <w:color w:val="000000"/>
                <w:sz w:val="22"/>
              </w:rPr>
              <w:t>　</w:t>
            </w:r>
          </w:p>
        </w:tc>
        <w:tc>
          <w:tcPr>
            <w:tcW w:w="708" w:type="dxa"/>
            <w:vAlign w:val="center"/>
          </w:tcPr>
          <w:p w14:paraId="46B8DFE0">
            <w:pPr>
              <w:jc w:val="left"/>
              <w:rPr>
                <w:rFonts w:ascii="宋体" w:cs="宋体"/>
                <w:color w:val="000000"/>
                <w:sz w:val="22"/>
              </w:rPr>
            </w:pPr>
            <w:r>
              <w:rPr>
                <w:rFonts w:hint="eastAsia" w:ascii="宋体" w:hAnsi="宋体" w:cs="宋体"/>
                <w:color w:val="000000"/>
                <w:sz w:val="22"/>
              </w:rPr>
              <w:t>　</w:t>
            </w:r>
          </w:p>
        </w:tc>
        <w:tc>
          <w:tcPr>
            <w:tcW w:w="993" w:type="dxa"/>
            <w:vAlign w:val="center"/>
          </w:tcPr>
          <w:p w14:paraId="2CB4C109">
            <w:pPr>
              <w:jc w:val="left"/>
              <w:rPr>
                <w:rFonts w:ascii="宋体" w:cs="宋体"/>
                <w:color w:val="000000"/>
                <w:sz w:val="22"/>
              </w:rPr>
            </w:pPr>
            <w:r>
              <w:rPr>
                <w:rFonts w:hint="eastAsia" w:ascii="宋体" w:hAnsi="宋体" w:cs="宋体"/>
                <w:color w:val="000000"/>
                <w:sz w:val="22"/>
              </w:rPr>
              <w:t>　</w:t>
            </w:r>
          </w:p>
        </w:tc>
      </w:tr>
      <w:tr w14:paraId="5B33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827" w:type="dxa"/>
            <w:gridSpan w:val="5"/>
            <w:vAlign w:val="center"/>
          </w:tcPr>
          <w:p w14:paraId="31786A1C">
            <w:pPr>
              <w:jc w:val="center"/>
              <w:rPr>
                <w:rFonts w:ascii="宋体" w:cs="宋体"/>
                <w:color w:val="000000"/>
                <w:sz w:val="22"/>
              </w:rPr>
            </w:pPr>
            <w:r>
              <w:rPr>
                <w:rFonts w:hint="eastAsia" w:ascii="宋体" w:hAnsi="宋体" w:cs="宋体"/>
                <w:color w:val="000000"/>
                <w:sz w:val="22"/>
              </w:rPr>
              <w:t>合</w:t>
            </w:r>
            <w:r>
              <w:rPr>
                <w:rFonts w:ascii="宋体" w:hAnsi="宋体" w:cs="宋体"/>
                <w:color w:val="000000"/>
                <w:sz w:val="22"/>
              </w:rPr>
              <w:t xml:space="preserve"> </w:t>
            </w:r>
            <w:r>
              <w:rPr>
                <w:rFonts w:hint="eastAsia" w:ascii="宋体" w:hAnsi="宋体" w:cs="宋体"/>
                <w:color w:val="000000"/>
                <w:sz w:val="22"/>
              </w:rPr>
              <w:t>计</w:t>
            </w:r>
          </w:p>
        </w:tc>
        <w:tc>
          <w:tcPr>
            <w:tcW w:w="709" w:type="dxa"/>
            <w:vAlign w:val="center"/>
          </w:tcPr>
          <w:p w14:paraId="55590E91">
            <w:pPr>
              <w:jc w:val="left"/>
              <w:rPr>
                <w:rFonts w:ascii="宋体" w:cs="宋体"/>
                <w:color w:val="000000"/>
                <w:sz w:val="22"/>
              </w:rPr>
            </w:pPr>
            <w:r>
              <w:rPr>
                <w:rFonts w:hint="eastAsia" w:ascii="宋体" w:hAnsi="宋体" w:cs="宋体"/>
                <w:color w:val="000000"/>
                <w:sz w:val="22"/>
              </w:rPr>
              <w:t>　</w:t>
            </w:r>
          </w:p>
        </w:tc>
        <w:tc>
          <w:tcPr>
            <w:tcW w:w="709" w:type="dxa"/>
            <w:vAlign w:val="center"/>
          </w:tcPr>
          <w:p w14:paraId="356BF92A">
            <w:pPr>
              <w:jc w:val="left"/>
              <w:rPr>
                <w:rFonts w:ascii="宋体" w:cs="宋体"/>
                <w:color w:val="000000"/>
                <w:sz w:val="22"/>
              </w:rPr>
            </w:pPr>
            <w:r>
              <w:rPr>
                <w:rFonts w:hint="eastAsia" w:ascii="宋体" w:hAnsi="宋体" w:cs="宋体"/>
                <w:color w:val="000000"/>
                <w:sz w:val="22"/>
              </w:rPr>
              <w:t>　</w:t>
            </w:r>
          </w:p>
        </w:tc>
        <w:tc>
          <w:tcPr>
            <w:tcW w:w="708" w:type="dxa"/>
            <w:vAlign w:val="center"/>
          </w:tcPr>
          <w:p w14:paraId="65EE2689">
            <w:pPr>
              <w:jc w:val="left"/>
              <w:rPr>
                <w:rFonts w:ascii="宋体" w:cs="宋体"/>
                <w:color w:val="000000"/>
                <w:sz w:val="22"/>
              </w:rPr>
            </w:pPr>
            <w:r>
              <w:rPr>
                <w:rFonts w:hint="eastAsia" w:ascii="宋体" w:hAnsi="宋体" w:cs="宋体"/>
                <w:color w:val="000000"/>
                <w:sz w:val="22"/>
              </w:rPr>
              <w:t>　</w:t>
            </w:r>
          </w:p>
        </w:tc>
        <w:tc>
          <w:tcPr>
            <w:tcW w:w="993" w:type="dxa"/>
            <w:vAlign w:val="center"/>
          </w:tcPr>
          <w:p w14:paraId="72DF6DEC">
            <w:pPr>
              <w:jc w:val="left"/>
              <w:rPr>
                <w:rFonts w:ascii="宋体" w:cs="宋体"/>
                <w:color w:val="000000"/>
                <w:sz w:val="22"/>
              </w:rPr>
            </w:pPr>
            <w:r>
              <w:rPr>
                <w:rFonts w:hint="eastAsia" w:ascii="宋体" w:hAnsi="宋体" w:cs="宋体"/>
                <w:color w:val="000000"/>
                <w:sz w:val="22"/>
              </w:rPr>
              <w:t>　</w:t>
            </w:r>
          </w:p>
        </w:tc>
      </w:tr>
      <w:tr w14:paraId="3B4A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946" w:type="dxa"/>
            <w:gridSpan w:val="9"/>
            <w:vAlign w:val="center"/>
          </w:tcPr>
          <w:p w14:paraId="0753B799">
            <w:pPr>
              <w:jc w:val="left"/>
              <w:rPr>
                <w:rFonts w:ascii="宋体" w:cs="宋体"/>
                <w:color w:val="000000"/>
                <w:sz w:val="22"/>
              </w:rPr>
            </w:pPr>
            <w:r>
              <w:rPr>
                <w:rFonts w:hint="eastAsia" w:ascii="宋体" w:hAnsi="宋体" w:cs="宋体"/>
                <w:color w:val="000000"/>
                <w:sz w:val="22"/>
              </w:rPr>
              <w:t>　合计人民币（大写）：</w:t>
            </w:r>
          </w:p>
        </w:tc>
      </w:tr>
    </w:tbl>
    <w:p w14:paraId="7DEFE6C4">
      <w:pPr>
        <w:pStyle w:val="13"/>
        <w:spacing w:line="400" w:lineRule="exact"/>
        <w:ind w:firstLine="480" w:firstLineChars="200"/>
        <w:rPr>
          <w:rFonts w:hAnsi="宋体"/>
          <w:sz w:val="24"/>
          <w:szCs w:val="24"/>
          <w:u w:val="single"/>
        </w:rPr>
      </w:pPr>
      <w:r>
        <w:rPr>
          <w:rFonts w:hint="eastAsia" w:hAnsi="宋体"/>
          <w:sz w:val="24"/>
          <w:szCs w:val="24"/>
        </w:rPr>
        <w:t>本合同价为人民币</w:t>
      </w:r>
      <w:r>
        <w:rPr>
          <w:rFonts w:hAnsi="宋体"/>
          <w:sz w:val="24"/>
          <w:szCs w:val="24"/>
          <w:u w:val="single"/>
        </w:rPr>
        <w:t xml:space="preserve">                  </w:t>
      </w:r>
      <w:r>
        <w:rPr>
          <w:rFonts w:hint="eastAsia" w:hAnsi="宋体"/>
          <w:sz w:val="24"/>
          <w:szCs w:val="24"/>
        </w:rPr>
        <w:t>元整（小写：¥</w:t>
      </w:r>
      <w:r>
        <w:rPr>
          <w:rFonts w:hAnsi="宋体"/>
          <w:sz w:val="24"/>
          <w:szCs w:val="24"/>
          <w:u w:val="single"/>
        </w:rPr>
        <w:t xml:space="preserve">          </w:t>
      </w:r>
      <w:r>
        <w:rPr>
          <w:rFonts w:hint="eastAsia" w:hAnsi="宋体"/>
          <w:sz w:val="24"/>
          <w:szCs w:val="24"/>
        </w:rPr>
        <w:t>）。与交货有关的所有费用应包括在合同价内，买方不再另行支付任何费用。</w:t>
      </w:r>
    </w:p>
    <w:p w14:paraId="0FE9C246">
      <w:pPr>
        <w:pStyle w:val="13"/>
        <w:spacing w:line="400" w:lineRule="exact"/>
        <w:ind w:left="-359" w:firstLine="460"/>
        <w:rPr>
          <w:rFonts w:hAnsi="宋体"/>
          <w:sz w:val="24"/>
          <w:szCs w:val="24"/>
        </w:rPr>
      </w:pPr>
      <w:r>
        <w:rPr>
          <w:rFonts w:hAnsi="宋体"/>
          <w:b/>
          <w:bCs/>
          <w:sz w:val="24"/>
          <w:szCs w:val="24"/>
        </w:rPr>
        <w:t>2</w:t>
      </w:r>
      <w:r>
        <w:rPr>
          <w:rFonts w:hint="eastAsia" w:hAnsi="宋体"/>
          <w:b/>
          <w:bCs/>
          <w:sz w:val="24"/>
          <w:szCs w:val="24"/>
        </w:rPr>
        <w:t>、交货时间、地点和方式</w:t>
      </w:r>
    </w:p>
    <w:p w14:paraId="4C15695A">
      <w:pPr>
        <w:pStyle w:val="13"/>
        <w:spacing w:line="400" w:lineRule="exact"/>
        <w:ind w:left="-359" w:firstLine="545"/>
        <w:rPr>
          <w:rFonts w:hAnsi="宋体"/>
          <w:sz w:val="24"/>
          <w:szCs w:val="24"/>
        </w:rPr>
      </w:pPr>
      <w:r>
        <w:rPr>
          <w:rFonts w:hint="eastAsia" w:hAnsi="宋体"/>
          <w:sz w:val="24"/>
          <w:szCs w:val="24"/>
        </w:rPr>
        <w:t>（</w:t>
      </w:r>
      <w:r>
        <w:rPr>
          <w:rFonts w:hAnsi="宋体"/>
          <w:sz w:val="24"/>
          <w:szCs w:val="24"/>
        </w:rPr>
        <w:t>1</w:t>
      </w:r>
      <w:r>
        <w:rPr>
          <w:rFonts w:hint="eastAsia" w:hAnsi="宋体"/>
          <w:sz w:val="24"/>
          <w:szCs w:val="24"/>
        </w:rPr>
        <w:t>）交货时间：</w:t>
      </w:r>
    </w:p>
    <w:p w14:paraId="0CBF3472">
      <w:pPr>
        <w:pStyle w:val="13"/>
        <w:spacing w:line="400" w:lineRule="exact"/>
        <w:ind w:left="-359" w:firstLine="545"/>
        <w:rPr>
          <w:rFonts w:hAnsi="宋体"/>
          <w:sz w:val="24"/>
          <w:szCs w:val="24"/>
        </w:rPr>
      </w:pPr>
    </w:p>
    <w:p w14:paraId="62B71CB6">
      <w:pPr>
        <w:pStyle w:val="13"/>
        <w:spacing w:line="400" w:lineRule="exact"/>
        <w:ind w:left="-359" w:firstLine="545"/>
        <w:rPr>
          <w:rFonts w:hAnsi="宋体"/>
          <w:sz w:val="24"/>
          <w:szCs w:val="24"/>
        </w:rPr>
      </w:pPr>
      <w:r>
        <w:rPr>
          <w:rFonts w:hint="eastAsia" w:hAnsi="宋体"/>
          <w:sz w:val="24"/>
          <w:szCs w:val="24"/>
        </w:rPr>
        <w:t>（</w:t>
      </w:r>
      <w:r>
        <w:rPr>
          <w:rFonts w:hAnsi="宋体"/>
          <w:sz w:val="24"/>
          <w:szCs w:val="24"/>
        </w:rPr>
        <w:t>2</w:t>
      </w:r>
      <w:r>
        <w:rPr>
          <w:rFonts w:hint="eastAsia" w:hAnsi="宋体"/>
          <w:sz w:val="24"/>
          <w:szCs w:val="24"/>
        </w:rPr>
        <w:t>）交货地点：</w:t>
      </w:r>
    </w:p>
    <w:p w14:paraId="00A448A4">
      <w:pPr>
        <w:pStyle w:val="13"/>
        <w:spacing w:line="400" w:lineRule="exact"/>
        <w:ind w:left="-359" w:firstLine="545"/>
        <w:rPr>
          <w:rFonts w:hAnsi="宋体"/>
          <w:sz w:val="24"/>
          <w:szCs w:val="24"/>
        </w:rPr>
      </w:pPr>
    </w:p>
    <w:p w14:paraId="086EAC7F">
      <w:pPr>
        <w:pStyle w:val="13"/>
        <w:spacing w:line="400" w:lineRule="exact"/>
        <w:ind w:left="-359" w:firstLine="545"/>
        <w:rPr>
          <w:rFonts w:hAnsi="宋体"/>
          <w:sz w:val="24"/>
          <w:szCs w:val="24"/>
        </w:rPr>
      </w:pPr>
      <w:r>
        <w:rPr>
          <w:rFonts w:hint="eastAsia" w:hAnsi="宋体"/>
          <w:sz w:val="24"/>
          <w:szCs w:val="24"/>
        </w:rPr>
        <w:t>（</w:t>
      </w:r>
      <w:r>
        <w:rPr>
          <w:rFonts w:hAnsi="宋体"/>
          <w:sz w:val="24"/>
          <w:szCs w:val="24"/>
        </w:rPr>
        <w:t>3</w:t>
      </w:r>
      <w:r>
        <w:rPr>
          <w:rFonts w:hint="eastAsia" w:hAnsi="宋体"/>
          <w:sz w:val="24"/>
          <w:szCs w:val="24"/>
        </w:rPr>
        <w:t>）交货方式：</w:t>
      </w:r>
    </w:p>
    <w:p w14:paraId="22EE2939">
      <w:pPr>
        <w:pStyle w:val="13"/>
        <w:spacing w:line="400" w:lineRule="exact"/>
        <w:ind w:left="-359" w:firstLine="545"/>
        <w:rPr>
          <w:rFonts w:hAnsi="宋体"/>
          <w:sz w:val="24"/>
          <w:szCs w:val="24"/>
        </w:rPr>
      </w:pPr>
    </w:p>
    <w:p w14:paraId="5EC3A8F1">
      <w:pPr>
        <w:pStyle w:val="13"/>
        <w:spacing w:line="400" w:lineRule="exact"/>
        <w:ind w:left="-359" w:firstLine="472"/>
        <w:rPr>
          <w:rFonts w:hAnsi="宋体"/>
          <w:sz w:val="24"/>
          <w:szCs w:val="24"/>
        </w:rPr>
      </w:pPr>
      <w:r>
        <w:rPr>
          <w:rFonts w:hAnsi="宋体"/>
          <w:b/>
          <w:bCs/>
          <w:sz w:val="24"/>
          <w:szCs w:val="24"/>
        </w:rPr>
        <w:t>3</w:t>
      </w:r>
      <w:r>
        <w:rPr>
          <w:rFonts w:hint="eastAsia" w:hAnsi="宋体"/>
          <w:b/>
          <w:bCs/>
          <w:sz w:val="24"/>
          <w:szCs w:val="24"/>
        </w:rPr>
        <w:t>、验收</w:t>
      </w:r>
    </w:p>
    <w:p w14:paraId="6FCAB893">
      <w:pPr>
        <w:pStyle w:val="13"/>
        <w:spacing w:line="400" w:lineRule="exact"/>
        <w:ind w:left="-359" w:firstLine="545"/>
        <w:rPr>
          <w:rFonts w:hAnsi="宋体"/>
          <w:sz w:val="24"/>
          <w:szCs w:val="24"/>
        </w:rPr>
      </w:pPr>
      <w:r>
        <w:rPr>
          <w:rFonts w:hAnsi="宋体"/>
          <w:sz w:val="24"/>
          <w:szCs w:val="24"/>
        </w:rPr>
        <w:t xml:space="preserve">  </w:t>
      </w:r>
      <w:r>
        <w:rPr>
          <w:rFonts w:hint="eastAsia" w:hAnsi="宋体"/>
          <w:sz w:val="24"/>
          <w:szCs w:val="24"/>
        </w:rPr>
        <w:t>1.买方以采购文件、中标（或成交）人的响应文件、合同为依据，成立验收小组，负责对项目进行全面的验收，卖方须向买方人提供详细的预验收方案。</w:t>
      </w:r>
    </w:p>
    <w:p w14:paraId="75EC80A2">
      <w:pPr>
        <w:pStyle w:val="13"/>
        <w:spacing w:line="400" w:lineRule="exact"/>
        <w:ind w:left="-359" w:firstLine="545"/>
        <w:rPr>
          <w:rFonts w:hAnsi="宋体"/>
          <w:sz w:val="24"/>
          <w:szCs w:val="24"/>
        </w:rPr>
      </w:pPr>
      <w:r>
        <w:rPr>
          <w:rFonts w:hint="eastAsia" w:hAnsi="宋体"/>
          <w:sz w:val="24"/>
          <w:szCs w:val="24"/>
        </w:rPr>
        <w:t>2.买方按照国家规定标准验收，没有国家标准的按行业标准验收，无行业标准的按地方或企业标准验收，卖方应予以配合。涉及安全、消防、环保等其他需要由质检或行业主管部门验收的项目，买方须约请相关部门和专家参加项目验收。</w:t>
      </w:r>
    </w:p>
    <w:p w14:paraId="6FB94BA7">
      <w:pPr>
        <w:pStyle w:val="13"/>
        <w:spacing w:line="400" w:lineRule="exact"/>
        <w:ind w:left="-359" w:firstLine="472"/>
        <w:rPr>
          <w:rFonts w:hAnsi="宋体"/>
          <w:b/>
          <w:bCs/>
          <w:sz w:val="24"/>
          <w:szCs w:val="24"/>
        </w:rPr>
      </w:pPr>
      <w:r>
        <w:rPr>
          <w:rFonts w:hAnsi="宋体"/>
          <w:b/>
          <w:bCs/>
          <w:sz w:val="24"/>
          <w:szCs w:val="24"/>
        </w:rPr>
        <w:t>4</w:t>
      </w:r>
      <w:r>
        <w:rPr>
          <w:rFonts w:hint="eastAsia" w:hAnsi="宋体"/>
          <w:b/>
          <w:bCs/>
          <w:sz w:val="24"/>
          <w:szCs w:val="24"/>
        </w:rPr>
        <w:t>、付款</w:t>
      </w:r>
    </w:p>
    <w:p w14:paraId="37C863F3">
      <w:pPr>
        <w:pStyle w:val="13"/>
        <w:spacing w:line="400" w:lineRule="exact"/>
        <w:ind w:left="-359" w:firstLine="472"/>
        <w:rPr>
          <w:rFonts w:hAnsi="宋体"/>
          <w:bCs/>
          <w:sz w:val="24"/>
          <w:szCs w:val="24"/>
        </w:rPr>
      </w:pPr>
      <w:r>
        <w:rPr>
          <w:rFonts w:hint="eastAsia" w:hAnsi="宋体"/>
          <w:bCs/>
          <w:sz w:val="24"/>
          <w:szCs w:val="24"/>
        </w:rPr>
        <w:t>（</w:t>
      </w:r>
      <w:r>
        <w:rPr>
          <w:rFonts w:hAnsi="宋体"/>
          <w:bCs/>
          <w:sz w:val="24"/>
          <w:szCs w:val="24"/>
        </w:rPr>
        <w:t>1</w:t>
      </w:r>
      <w:r>
        <w:rPr>
          <w:rFonts w:hint="eastAsia" w:hAnsi="宋体"/>
          <w:bCs/>
          <w:sz w:val="24"/>
          <w:szCs w:val="24"/>
        </w:rPr>
        <w:t>）付款方式：</w:t>
      </w:r>
    </w:p>
    <w:p w14:paraId="43D748D0">
      <w:pPr>
        <w:pStyle w:val="13"/>
        <w:spacing w:line="400" w:lineRule="exact"/>
        <w:ind w:left="-359" w:firstLine="4848" w:firstLineChars="2020"/>
        <w:rPr>
          <w:rFonts w:hAnsi="宋体"/>
          <w:bCs/>
          <w:sz w:val="24"/>
          <w:szCs w:val="24"/>
        </w:rPr>
      </w:pPr>
    </w:p>
    <w:p w14:paraId="3C174457">
      <w:pPr>
        <w:pStyle w:val="13"/>
        <w:spacing w:line="400" w:lineRule="exact"/>
        <w:ind w:left="-359" w:firstLine="472"/>
        <w:rPr>
          <w:rFonts w:hAnsi="宋体"/>
          <w:bCs/>
          <w:sz w:val="24"/>
          <w:szCs w:val="24"/>
        </w:rPr>
      </w:pPr>
      <w:r>
        <w:rPr>
          <w:rFonts w:hint="eastAsia" w:hAnsi="宋体"/>
          <w:bCs/>
          <w:sz w:val="24"/>
          <w:szCs w:val="24"/>
        </w:rPr>
        <w:t>（</w:t>
      </w:r>
      <w:r>
        <w:rPr>
          <w:rFonts w:hAnsi="宋体"/>
          <w:bCs/>
          <w:sz w:val="24"/>
          <w:szCs w:val="24"/>
        </w:rPr>
        <w:t>2</w:t>
      </w:r>
      <w:r>
        <w:rPr>
          <w:rFonts w:hint="eastAsia" w:hAnsi="宋体"/>
          <w:bCs/>
          <w:sz w:val="24"/>
          <w:szCs w:val="24"/>
        </w:rPr>
        <w:t>）付款时间：</w:t>
      </w:r>
    </w:p>
    <w:p w14:paraId="57B4D405">
      <w:pPr>
        <w:pStyle w:val="13"/>
        <w:spacing w:line="400" w:lineRule="exact"/>
        <w:ind w:left="-359" w:firstLine="472"/>
        <w:rPr>
          <w:rFonts w:hAnsi="宋体"/>
          <w:sz w:val="24"/>
          <w:szCs w:val="24"/>
        </w:rPr>
      </w:pPr>
    </w:p>
    <w:p w14:paraId="650BCC10">
      <w:pPr>
        <w:pStyle w:val="13"/>
        <w:spacing w:line="400" w:lineRule="exact"/>
        <w:ind w:left="-357" w:firstLine="472"/>
        <w:rPr>
          <w:rFonts w:hAnsi="宋体"/>
          <w:b/>
          <w:bCs/>
          <w:sz w:val="24"/>
          <w:szCs w:val="24"/>
        </w:rPr>
      </w:pPr>
      <w:r>
        <w:rPr>
          <w:rFonts w:hAnsi="宋体"/>
          <w:b/>
          <w:bCs/>
          <w:sz w:val="24"/>
          <w:szCs w:val="24"/>
        </w:rPr>
        <w:t>5</w:t>
      </w:r>
      <w:r>
        <w:rPr>
          <w:rFonts w:hint="eastAsia" w:hAnsi="宋体"/>
          <w:b/>
          <w:bCs/>
          <w:sz w:val="24"/>
          <w:szCs w:val="24"/>
        </w:rPr>
        <w:t>、履约保证金</w:t>
      </w:r>
    </w:p>
    <w:p w14:paraId="14EBF0E5">
      <w:pPr>
        <w:pStyle w:val="13"/>
        <w:spacing w:line="400" w:lineRule="exact"/>
        <w:ind w:left="-357" w:firstLine="472"/>
        <w:rPr>
          <w:rFonts w:hAnsi="宋体"/>
          <w:bCs/>
          <w:sz w:val="24"/>
          <w:szCs w:val="24"/>
        </w:rPr>
      </w:pPr>
      <w:r>
        <w:rPr>
          <w:rFonts w:hint="eastAsia" w:hAnsi="宋体"/>
          <w:bCs/>
          <w:sz w:val="24"/>
          <w:szCs w:val="24"/>
        </w:rPr>
        <w:t>在签署本合同之前，卖方应向买方提交一笔金额为</w:t>
      </w:r>
      <w:r>
        <w:rPr>
          <w:rFonts w:hAnsi="宋体"/>
          <w:bCs/>
          <w:sz w:val="24"/>
          <w:szCs w:val="24"/>
          <w:u w:val="single"/>
        </w:rPr>
        <w:t xml:space="preserve">          </w:t>
      </w:r>
      <w:r>
        <w:rPr>
          <w:rFonts w:hint="eastAsia" w:hAnsi="宋体"/>
          <w:bCs/>
          <w:sz w:val="24"/>
          <w:szCs w:val="24"/>
        </w:rPr>
        <w:t>元人民币</w:t>
      </w:r>
      <w:r>
        <w:rPr>
          <w:rFonts w:hint="eastAsia" w:hAnsi="宋体"/>
          <w:sz w:val="24"/>
          <w:szCs w:val="24"/>
        </w:rPr>
        <w:t>（小写：¥</w:t>
      </w:r>
      <w:r>
        <w:rPr>
          <w:rFonts w:hAnsi="宋体"/>
          <w:sz w:val="24"/>
          <w:szCs w:val="24"/>
          <w:u w:val="single"/>
        </w:rPr>
        <w:t xml:space="preserve">          </w:t>
      </w:r>
      <w:r>
        <w:rPr>
          <w:rFonts w:hint="eastAsia" w:hAnsi="宋体"/>
          <w:sz w:val="24"/>
          <w:szCs w:val="24"/>
        </w:rPr>
        <w:t>）</w:t>
      </w:r>
      <w:r>
        <w:rPr>
          <w:rFonts w:hint="eastAsia" w:hAnsi="宋体"/>
          <w:bCs/>
          <w:sz w:val="24"/>
          <w:szCs w:val="24"/>
        </w:rPr>
        <w:t>的履约保证金。履约保证金在按本合同规定验收合格后</w:t>
      </w:r>
      <w:r>
        <w:rPr>
          <w:rFonts w:hAnsi="宋体"/>
          <w:bCs/>
          <w:sz w:val="24"/>
          <w:szCs w:val="24"/>
        </w:rPr>
        <w:t>15</w:t>
      </w:r>
      <w:r>
        <w:rPr>
          <w:rFonts w:hint="eastAsia" w:hAnsi="宋体"/>
          <w:bCs/>
          <w:sz w:val="24"/>
          <w:szCs w:val="24"/>
        </w:rPr>
        <w:t>日内退还给卖方。</w:t>
      </w:r>
    </w:p>
    <w:p w14:paraId="74A51E91">
      <w:pPr>
        <w:pStyle w:val="13"/>
        <w:spacing w:line="400" w:lineRule="exact"/>
        <w:ind w:left="-357" w:firstLine="472"/>
        <w:rPr>
          <w:rFonts w:hAnsi="宋体"/>
          <w:sz w:val="24"/>
          <w:szCs w:val="24"/>
        </w:rPr>
      </w:pPr>
    </w:p>
    <w:p w14:paraId="7ED286BB">
      <w:pPr>
        <w:spacing w:line="400" w:lineRule="exact"/>
        <w:rPr>
          <w:rFonts w:ascii="宋体"/>
          <w:sz w:val="24"/>
        </w:rPr>
      </w:pPr>
      <w:r>
        <w:rPr>
          <w:rFonts w:hint="eastAsia" w:ascii="宋体" w:hAnsi="宋体"/>
          <w:sz w:val="24"/>
        </w:rPr>
        <w:t>签约各方：</w:t>
      </w:r>
    </w:p>
    <w:p w14:paraId="6CAFFF70">
      <w:pPr>
        <w:spacing w:line="400" w:lineRule="exact"/>
        <w:rPr>
          <w:rFonts w:ascii="宋体"/>
          <w:sz w:val="24"/>
        </w:rPr>
      </w:pPr>
    </w:p>
    <w:p w14:paraId="6C2D6942">
      <w:pPr>
        <w:spacing w:line="400" w:lineRule="exact"/>
        <w:rPr>
          <w:rFonts w:ascii="宋体"/>
          <w:color w:val="000000"/>
          <w:sz w:val="24"/>
        </w:rPr>
      </w:pPr>
      <w:r>
        <w:rPr>
          <w:rFonts w:hint="eastAsia" w:ascii="宋体" w:hAnsi="宋体"/>
          <w:color w:val="000000"/>
          <w:sz w:val="24"/>
        </w:rPr>
        <w:t>甲方（盖章）：</w:t>
      </w:r>
      <w:r>
        <w:rPr>
          <w:rFonts w:ascii="宋体"/>
          <w:color w:val="000000"/>
          <w:sz w:val="24"/>
        </w:rPr>
        <w:t>    </w:t>
      </w:r>
      <w:r>
        <w:rPr>
          <w:rFonts w:hint="eastAsia" w:ascii="宋体" w:hAnsi="宋体"/>
          <w:color w:val="000000"/>
          <w:sz w:val="24"/>
        </w:rPr>
        <w:t>年</w:t>
      </w:r>
      <w:r>
        <w:rPr>
          <w:rFonts w:ascii="宋体" w:hAnsi="宋体"/>
          <w:color w:val="000000"/>
          <w:sz w:val="24"/>
        </w:rPr>
        <w:t xml:space="preserve">  </w:t>
      </w:r>
      <w:r>
        <w:rPr>
          <w:rFonts w:hint="eastAsia" w:ascii="宋体" w:hAnsi="宋体"/>
          <w:color w:val="000000"/>
          <w:sz w:val="24"/>
        </w:rPr>
        <w:t>月</w:t>
      </w:r>
      <w:r>
        <w:rPr>
          <w:rFonts w:ascii="宋体" w:hAnsi="宋体"/>
          <w:color w:val="000000"/>
          <w:sz w:val="24"/>
        </w:rPr>
        <w:t xml:space="preserve">  </w:t>
      </w:r>
      <w:r>
        <w:rPr>
          <w:rFonts w:hint="eastAsia" w:ascii="宋体" w:hAnsi="宋体"/>
          <w:color w:val="000000"/>
          <w:sz w:val="24"/>
        </w:rPr>
        <w:t>日</w:t>
      </w:r>
      <w:r>
        <w:rPr>
          <w:rFonts w:ascii="宋体"/>
          <w:color w:val="000000"/>
          <w:sz w:val="24"/>
        </w:rPr>
        <w:t>     </w:t>
      </w:r>
      <w:r>
        <w:rPr>
          <w:rFonts w:ascii="宋体" w:hAnsi="宋体"/>
          <w:color w:val="000000"/>
          <w:sz w:val="24"/>
        </w:rPr>
        <w:t xml:space="preserve">        </w:t>
      </w:r>
      <w:r>
        <w:rPr>
          <w:rFonts w:hint="eastAsia" w:ascii="宋体" w:hAnsi="宋体"/>
          <w:color w:val="000000"/>
          <w:sz w:val="24"/>
        </w:rPr>
        <w:t>乙方（盖章）：</w:t>
      </w:r>
      <w:r>
        <w:rPr>
          <w:rFonts w:ascii="宋体" w:hAnsi="宋体"/>
          <w:color w:val="000000"/>
          <w:sz w:val="24"/>
        </w:rPr>
        <w:t xml:space="preserve">   </w:t>
      </w:r>
      <w:r>
        <w:rPr>
          <w:rFonts w:hint="eastAsia" w:ascii="宋体" w:hAnsi="宋体"/>
          <w:color w:val="000000"/>
          <w:sz w:val="24"/>
        </w:rPr>
        <w:t>年</w:t>
      </w:r>
      <w:r>
        <w:rPr>
          <w:rFonts w:ascii="宋体" w:hAnsi="宋体"/>
          <w:color w:val="000000"/>
          <w:sz w:val="24"/>
        </w:rPr>
        <w:t xml:space="preserve">  </w:t>
      </w:r>
      <w:r>
        <w:rPr>
          <w:rFonts w:hint="eastAsia" w:ascii="宋体" w:hAnsi="宋体"/>
          <w:color w:val="000000"/>
          <w:sz w:val="24"/>
        </w:rPr>
        <w:t>月</w:t>
      </w:r>
      <w:r>
        <w:rPr>
          <w:rFonts w:ascii="宋体" w:hAnsi="宋体"/>
          <w:color w:val="000000"/>
          <w:sz w:val="24"/>
        </w:rPr>
        <w:t xml:space="preserve">  </w:t>
      </w:r>
      <w:r>
        <w:rPr>
          <w:rFonts w:hint="eastAsia" w:ascii="宋体" w:hAnsi="宋体"/>
          <w:color w:val="000000"/>
          <w:sz w:val="24"/>
        </w:rPr>
        <w:t>日</w:t>
      </w:r>
    </w:p>
    <w:p w14:paraId="1D850972">
      <w:pPr>
        <w:spacing w:line="400" w:lineRule="exact"/>
        <w:rPr>
          <w:rFonts w:ascii="宋体"/>
          <w:sz w:val="24"/>
        </w:rPr>
      </w:pPr>
    </w:p>
    <w:p w14:paraId="050B3BE1">
      <w:pPr>
        <w:spacing w:line="400" w:lineRule="exact"/>
        <w:rPr>
          <w:rFonts w:ascii="宋体"/>
          <w:sz w:val="24"/>
        </w:rPr>
      </w:pPr>
      <w:r>
        <w:rPr>
          <w:rFonts w:hint="eastAsia" w:ascii="宋体" w:hAnsi="宋体"/>
          <w:color w:val="000000"/>
          <w:sz w:val="24"/>
        </w:rPr>
        <w:t>甲方法定代表（签字）：</w:t>
      </w:r>
      <w:r>
        <w:rPr>
          <w:rFonts w:ascii="宋体"/>
          <w:color w:val="000000"/>
          <w:sz w:val="24"/>
        </w:rPr>
        <w:t>   </w:t>
      </w:r>
      <w:r>
        <w:rPr>
          <w:rFonts w:ascii="宋体" w:hAnsi="宋体"/>
          <w:color w:val="000000"/>
          <w:sz w:val="24"/>
        </w:rPr>
        <w:t xml:space="preserve">          </w:t>
      </w:r>
      <w:r>
        <w:rPr>
          <w:rFonts w:hint="eastAsia" w:ascii="宋体" w:hAnsi="宋体"/>
          <w:color w:val="000000"/>
          <w:sz w:val="24"/>
        </w:rPr>
        <w:t>乙方法定代表（签字）：</w:t>
      </w:r>
    </w:p>
    <w:p w14:paraId="78363963">
      <w:pPr>
        <w:spacing w:line="400" w:lineRule="exact"/>
        <w:rPr>
          <w:rFonts w:ascii="宋体"/>
          <w:sz w:val="24"/>
        </w:rPr>
      </w:pPr>
      <w:r>
        <w:rPr>
          <w:rFonts w:hint="eastAsia" w:ascii="宋体" w:hAnsi="宋体"/>
          <w:color w:val="000000"/>
          <w:sz w:val="24"/>
        </w:rPr>
        <w:t>地址：</w:t>
      </w:r>
      <w:r>
        <w:rPr>
          <w:rFonts w:ascii="宋体"/>
          <w:color w:val="000000"/>
          <w:sz w:val="24"/>
        </w:rPr>
        <w:t>     </w:t>
      </w:r>
      <w:r>
        <w:rPr>
          <w:rFonts w:ascii="宋体" w:hAnsi="宋体"/>
          <w:color w:val="000000"/>
          <w:sz w:val="24"/>
        </w:rPr>
        <w:t xml:space="preserve">                           </w:t>
      </w:r>
      <w:r>
        <w:rPr>
          <w:rFonts w:hint="eastAsia" w:ascii="宋体" w:hAnsi="宋体"/>
          <w:color w:val="000000"/>
          <w:sz w:val="24"/>
        </w:rPr>
        <w:t xml:space="preserve"> 地址：</w:t>
      </w:r>
      <w:r>
        <w:rPr>
          <w:rFonts w:ascii="宋体"/>
          <w:color w:val="000000"/>
          <w:sz w:val="24"/>
        </w:rPr>
        <w:t>    </w:t>
      </w:r>
      <w:r>
        <w:rPr>
          <w:rFonts w:ascii="宋体" w:hAnsi="宋体"/>
          <w:color w:val="000000"/>
          <w:sz w:val="24"/>
        </w:rPr>
        <w:t xml:space="preserve">          </w:t>
      </w:r>
    </w:p>
    <w:p w14:paraId="0F9C07AF">
      <w:pPr>
        <w:spacing w:line="400" w:lineRule="exact"/>
        <w:rPr>
          <w:rFonts w:ascii="宋体"/>
          <w:sz w:val="24"/>
        </w:rPr>
      </w:pPr>
      <w:r>
        <w:rPr>
          <w:rFonts w:hint="eastAsia" w:ascii="宋体" w:hAnsi="宋体"/>
          <w:color w:val="000000"/>
          <w:sz w:val="24"/>
        </w:rPr>
        <w:t>电话：</w:t>
      </w:r>
      <w:r>
        <w:rPr>
          <w:rFonts w:ascii="宋体" w:hAnsi="宋体"/>
          <w:color w:val="000000"/>
          <w:sz w:val="24"/>
        </w:rPr>
        <w:t xml:space="preserve">                      </w:t>
      </w:r>
      <w:r>
        <w:rPr>
          <w:rFonts w:hint="eastAsia" w:ascii="宋体" w:hAnsi="宋体"/>
          <w:color w:val="000000"/>
          <w:sz w:val="24"/>
        </w:rPr>
        <w:t>电话：</w:t>
      </w:r>
    </w:p>
    <w:p w14:paraId="163E38B2">
      <w:pPr>
        <w:spacing w:line="400" w:lineRule="exact"/>
        <w:rPr>
          <w:rFonts w:ascii="宋体"/>
          <w:color w:val="000000"/>
          <w:sz w:val="24"/>
        </w:rPr>
      </w:pPr>
      <w:r>
        <w:rPr>
          <w:rFonts w:hint="eastAsia" w:ascii="宋体" w:hAnsi="宋体"/>
          <w:color w:val="000000"/>
          <w:sz w:val="24"/>
        </w:rPr>
        <w:t>传真：</w:t>
      </w:r>
      <w:r>
        <w:rPr>
          <w:rFonts w:ascii="宋体"/>
          <w:color w:val="000000"/>
          <w:sz w:val="24"/>
        </w:rPr>
        <w:t>   </w:t>
      </w:r>
      <w:r>
        <w:rPr>
          <w:rFonts w:ascii="宋体" w:hAnsi="宋体"/>
          <w:color w:val="000000"/>
          <w:sz w:val="24"/>
        </w:rPr>
        <w:t xml:space="preserve">                    </w:t>
      </w:r>
      <w:r>
        <w:rPr>
          <w:rFonts w:hint="eastAsia" w:ascii="宋体" w:hAnsi="宋体"/>
          <w:color w:val="000000"/>
          <w:sz w:val="24"/>
        </w:rPr>
        <w:t xml:space="preserve"> 传真：</w:t>
      </w:r>
    </w:p>
    <w:p w14:paraId="3D34EEF2">
      <w:pPr>
        <w:spacing w:line="400" w:lineRule="exact"/>
        <w:rPr>
          <w:rFonts w:ascii="宋体"/>
          <w:color w:val="000000"/>
          <w:sz w:val="24"/>
        </w:rPr>
      </w:pPr>
      <w:r>
        <w:rPr>
          <w:rFonts w:hint="eastAsia" w:ascii="宋体" w:hAnsi="宋体"/>
          <w:color w:val="000000"/>
          <w:sz w:val="24"/>
        </w:rPr>
        <w:t>开户银行：</w:t>
      </w:r>
      <w:r>
        <w:rPr>
          <w:rFonts w:ascii="宋体"/>
          <w:color w:val="000000"/>
          <w:sz w:val="24"/>
        </w:rPr>
        <w:t>                </w:t>
      </w:r>
      <w:r>
        <w:rPr>
          <w:rFonts w:ascii="宋体" w:hAnsi="宋体"/>
          <w:color w:val="000000"/>
          <w:sz w:val="24"/>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开户银行：</w:t>
      </w:r>
    </w:p>
    <w:p w14:paraId="75985011">
      <w:pPr>
        <w:spacing w:line="400" w:lineRule="exact"/>
        <w:rPr>
          <w:rFonts w:ascii="宋体"/>
          <w:color w:val="000000"/>
          <w:sz w:val="24"/>
        </w:rPr>
      </w:pPr>
      <w:r>
        <w:rPr>
          <w:rFonts w:hint="eastAsia" w:ascii="宋体" w:hAnsi="宋体"/>
          <w:color w:val="000000"/>
          <w:sz w:val="24"/>
        </w:rPr>
        <w:t>银行账号：</w:t>
      </w:r>
      <w:r>
        <w:rPr>
          <w:rFonts w:ascii="宋体" w:hAnsi="宋体"/>
          <w:color w:val="000000"/>
          <w:sz w:val="24"/>
        </w:rPr>
        <w:t xml:space="preserve">                              </w:t>
      </w:r>
      <w:r>
        <w:rPr>
          <w:rFonts w:hint="eastAsia" w:ascii="宋体" w:hAnsi="宋体"/>
          <w:color w:val="000000"/>
          <w:sz w:val="24"/>
        </w:rPr>
        <w:t>银行账号：</w:t>
      </w:r>
    </w:p>
    <w:p w14:paraId="723F911F">
      <w:pPr>
        <w:spacing w:line="400" w:lineRule="exact"/>
        <w:rPr>
          <w:rFonts w:ascii="宋体"/>
          <w:color w:val="000000"/>
          <w:sz w:val="24"/>
        </w:rPr>
      </w:pPr>
      <w:r>
        <w:rPr>
          <w:rFonts w:hint="eastAsia" w:ascii="宋体" w:hAnsi="宋体"/>
          <w:color w:val="000000"/>
          <w:sz w:val="24"/>
        </w:rPr>
        <w:t>签订地点：</w:t>
      </w:r>
      <w:r>
        <w:rPr>
          <w:rFonts w:ascii="宋体" w:hAnsi="宋体"/>
          <w:color w:val="000000"/>
          <w:sz w:val="24"/>
        </w:rPr>
        <w:t xml:space="preserve">                              </w:t>
      </w:r>
      <w:r>
        <w:rPr>
          <w:rFonts w:hint="eastAsia" w:ascii="宋体" w:hAnsi="宋体"/>
          <w:color w:val="000000"/>
          <w:sz w:val="24"/>
        </w:rPr>
        <w:t>签订地点：</w:t>
      </w:r>
    </w:p>
    <w:p w14:paraId="48A93305">
      <w:pPr>
        <w:pStyle w:val="2"/>
        <w:keepNext w:val="0"/>
        <w:keepLines w:val="0"/>
        <w:spacing w:line="579" w:lineRule="auto"/>
        <w:jc w:val="center"/>
        <w:rPr>
          <w:rFonts w:ascii="宋体" w:hAnsi="宋体"/>
          <w:color w:val="000000"/>
          <w:sz w:val="36"/>
        </w:rPr>
      </w:pPr>
    </w:p>
    <w:p w14:paraId="09FC6662">
      <w:pPr>
        <w:pStyle w:val="2"/>
        <w:keepNext w:val="0"/>
        <w:keepLines w:val="0"/>
        <w:spacing w:line="579" w:lineRule="auto"/>
        <w:jc w:val="center"/>
        <w:rPr>
          <w:rFonts w:ascii="宋体" w:hAnsi="宋体"/>
          <w:color w:val="000000"/>
          <w:sz w:val="36"/>
        </w:rPr>
      </w:pPr>
    </w:p>
    <w:p w14:paraId="3E8FFBC6">
      <w:pPr>
        <w:pStyle w:val="2"/>
        <w:keepNext w:val="0"/>
        <w:keepLines w:val="0"/>
        <w:spacing w:line="579" w:lineRule="auto"/>
        <w:jc w:val="center"/>
        <w:rPr>
          <w:rFonts w:ascii="宋体" w:hAnsi="宋体"/>
          <w:color w:val="000000"/>
          <w:sz w:val="36"/>
        </w:rPr>
      </w:pPr>
    </w:p>
    <w:p w14:paraId="455F4C41">
      <w:pPr>
        <w:pStyle w:val="2"/>
        <w:keepNext w:val="0"/>
        <w:keepLines w:val="0"/>
        <w:spacing w:line="579" w:lineRule="auto"/>
        <w:jc w:val="center"/>
        <w:rPr>
          <w:rFonts w:ascii="宋体" w:hAnsi="宋体"/>
          <w:color w:val="000000"/>
          <w:sz w:val="36"/>
        </w:rPr>
      </w:pPr>
    </w:p>
    <w:p w14:paraId="279AA7C4">
      <w:pPr>
        <w:pStyle w:val="2"/>
        <w:keepNext w:val="0"/>
        <w:keepLines w:val="0"/>
        <w:spacing w:line="579" w:lineRule="auto"/>
        <w:jc w:val="center"/>
        <w:rPr>
          <w:rFonts w:ascii="宋体" w:hAnsi="宋体"/>
          <w:color w:val="000000"/>
          <w:sz w:val="36"/>
        </w:rPr>
      </w:pPr>
    </w:p>
    <w:p w14:paraId="1760A697">
      <w:pPr>
        <w:pStyle w:val="2"/>
        <w:jc w:val="center"/>
        <w:rPr>
          <w:rFonts w:ascii="宋体" w:hAnsi="宋体"/>
          <w:color w:val="000000"/>
          <w:sz w:val="36"/>
        </w:rPr>
      </w:pPr>
      <w:r>
        <w:rPr>
          <w:rFonts w:hint="eastAsia" w:ascii="宋体" w:hAnsi="宋体"/>
          <w:color w:val="000000"/>
          <w:sz w:val="36"/>
        </w:rPr>
        <w:t>第五章 谈判响应文件的组成及格式</w:t>
      </w:r>
      <w:bookmarkEnd w:id="22"/>
      <w:bookmarkEnd w:id="23"/>
    </w:p>
    <w:p w14:paraId="05C3A4C7">
      <w:pPr>
        <w:spacing w:line="400" w:lineRule="exact"/>
        <w:jc w:val="center"/>
        <w:rPr>
          <w:rFonts w:ascii="宋体" w:hAnsi="宋体"/>
          <w:b/>
          <w:color w:val="000000"/>
          <w:sz w:val="24"/>
        </w:rPr>
      </w:pPr>
    </w:p>
    <w:p w14:paraId="382F3A63">
      <w:pPr>
        <w:spacing w:line="400" w:lineRule="exact"/>
      </w:pPr>
    </w:p>
    <w:p w14:paraId="42E0C36E">
      <w:pPr>
        <w:rPr>
          <w:rFonts w:eastAsia="黑体"/>
          <w:sz w:val="20"/>
          <w:szCs w:val="20"/>
        </w:rPr>
      </w:pPr>
      <w:r>
        <w:rPr>
          <w:rFonts w:hint="eastAsia" w:ascii="仿宋_GB2312" w:eastAsia="仿宋_GB2312"/>
          <w:szCs w:val="21"/>
        </w:rPr>
        <w:br w:type="page"/>
      </w:r>
    </w:p>
    <w:p w14:paraId="473871D0">
      <w:pPr>
        <w:jc w:val="center"/>
        <w:rPr>
          <w:rFonts w:eastAsia="黑体"/>
          <w:sz w:val="28"/>
          <w:szCs w:val="28"/>
          <w:u w:val="single"/>
        </w:rPr>
      </w:pPr>
    </w:p>
    <w:p w14:paraId="7502439A">
      <w:pPr>
        <w:jc w:val="center"/>
        <w:outlineLvl w:val="0"/>
        <w:rPr>
          <w:rFonts w:eastAsia="黑体"/>
          <w:sz w:val="20"/>
          <w:szCs w:val="20"/>
        </w:rPr>
      </w:pPr>
      <w:r>
        <w:rPr>
          <w:rFonts w:hint="eastAsia" w:eastAsia="黑体"/>
          <w:sz w:val="28"/>
          <w:szCs w:val="28"/>
          <w:u w:val="single"/>
        </w:rPr>
        <w:t xml:space="preserve">                </w:t>
      </w:r>
      <w:bookmarkStart w:id="24" w:name="_Toc28192"/>
      <w:bookmarkStart w:id="25" w:name="_Toc18834"/>
      <w:bookmarkStart w:id="26" w:name="_Toc25131"/>
      <w:bookmarkStart w:id="27" w:name="_Toc30026"/>
      <w:bookmarkStart w:id="28" w:name="_Toc6767"/>
      <w:r>
        <w:rPr>
          <w:rFonts w:eastAsia="黑体"/>
          <w:sz w:val="28"/>
          <w:szCs w:val="28"/>
        </w:rPr>
        <w:t>（项目名称）</w:t>
      </w:r>
      <w:bookmarkEnd w:id="24"/>
      <w:bookmarkEnd w:id="25"/>
      <w:bookmarkEnd w:id="26"/>
      <w:bookmarkEnd w:id="27"/>
      <w:bookmarkEnd w:id="28"/>
    </w:p>
    <w:p w14:paraId="0FC92A9B">
      <w:pPr>
        <w:jc w:val="center"/>
        <w:rPr>
          <w:rFonts w:eastAsia="黑体"/>
          <w:sz w:val="20"/>
          <w:szCs w:val="20"/>
        </w:rPr>
      </w:pPr>
    </w:p>
    <w:p w14:paraId="0347EE35">
      <w:pPr>
        <w:rPr>
          <w:rFonts w:eastAsia="黑体"/>
          <w:sz w:val="20"/>
          <w:szCs w:val="20"/>
        </w:rPr>
      </w:pPr>
    </w:p>
    <w:p w14:paraId="76BDD9C3">
      <w:pPr>
        <w:jc w:val="center"/>
        <w:rPr>
          <w:rFonts w:eastAsia="黑体"/>
          <w:sz w:val="44"/>
          <w:szCs w:val="44"/>
        </w:rPr>
      </w:pPr>
      <w:r>
        <w:rPr>
          <w:rFonts w:hint="eastAsia" w:eastAsia="黑体"/>
          <w:sz w:val="44"/>
          <w:szCs w:val="44"/>
        </w:rPr>
        <w:t>谈  判  响  应</w:t>
      </w:r>
      <w:r>
        <w:rPr>
          <w:rFonts w:eastAsia="黑体"/>
          <w:sz w:val="44"/>
          <w:szCs w:val="44"/>
        </w:rPr>
        <w:t xml:space="preserve">  文  件</w:t>
      </w:r>
    </w:p>
    <w:p w14:paraId="3C505042">
      <w:pPr>
        <w:rPr>
          <w:rFonts w:eastAsia="黑体"/>
          <w:sz w:val="28"/>
          <w:szCs w:val="28"/>
        </w:rPr>
      </w:pPr>
    </w:p>
    <w:p w14:paraId="1B3BDB3D">
      <w:pPr>
        <w:rPr>
          <w:rFonts w:eastAsia="黑体"/>
          <w:sz w:val="28"/>
          <w:szCs w:val="28"/>
        </w:rPr>
      </w:pPr>
    </w:p>
    <w:p w14:paraId="0C0306B4">
      <w:pPr>
        <w:rPr>
          <w:rFonts w:eastAsia="黑体"/>
          <w:sz w:val="28"/>
          <w:szCs w:val="28"/>
        </w:rPr>
      </w:pPr>
    </w:p>
    <w:p w14:paraId="411A309A">
      <w:pPr>
        <w:rPr>
          <w:rFonts w:eastAsia="黑体"/>
          <w:sz w:val="28"/>
          <w:szCs w:val="28"/>
        </w:rPr>
      </w:pPr>
    </w:p>
    <w:p w14:paraId="18FFB03B">
      <w:pPr>
        <w:rPr>
          <w:rFonts w:eastAsia="黑体"/>
          <w:sz w:val="28"/>
          <w:szCs w:val="28"/>
        </w:rPr>
      </w:pPr>
    </w:p>
    <w:p w14:paraId="0AD495A9">
      <w:pPr>
        <w:rPr>
          <w:rFonts w:eastAsia="黑体"/>
          <w:sz w:val="28"/>
          <w:szCs w:val="28"/>
        </w:rPr>
      </w:pPr>
    </w:p>
    <w:p w14:paraId="5BD1CD6D">
      <w:pPr>
        <w:rPr>
          <w:rFonts w:eastAsia="黑体"/>
          <w:sz w:val="28"/>
          <w:szCs w:val="28"/>
        </w:rPr>
      </w:pPr>
    </w:p>
    <w:p w14:paraId="701031C6">
      <w:pPr>
        <w:rPr>
          <w:rFonts w:eastAsia="黑体"/>
          <w:sz w:val="28"/>
          <w:szCs w:val="28"/>
        </w:rPr>
      </w:pPr>
    </w:p>
    <w:p w14:paraId="7522312A">
      <w:pPr>
        <w:rPr>
          <w:rFonts w:eastAsia="黑体"/>
          <w:sz w:val="28"/>
          <w:szCs w:val="28"/>
        </w:rPr>
      </w:pPr>
    </w:p>
    <w:p w14:paraId="2777951A">
      <w:pPr>
        <w:rPr>
          <w:rFonts w:eastAsia="黑体"/>
          <w:sz w:val="28"/>
          <w:szCs w:val="28"/>
        </w:rPr>
      </w:pPr>
    </w:p>
    <w:p w14:paraId="555770AF">
      <w:pPr>
        <w:rPr>
          <w:rFonts w:eastAsia="黑体"/>
          <w:sz w:val="28"/>
          <w:szCs w:val="28"/>
        </w:rPr>
      </w:pPr>
    </w:p>
    <w:p w14:paraId="037DB2C2">
      <w:pPr>
        <w:jc w:val="center"/>
        <w:outlineLvl w:val="0"/>
        <w:rPr>
          <w:rFonts w:eastAsia="黑体"/>
          <w:sz w:val="28"/>
          <w:szCs w:val="28"/>
          <w:u w:val="single"/>
        </w:rPr>
      </w:pPr>
      <w:bookmarkStart w:id="29" w:name="_Toc24266"/>
      <w:bookmarkStart w:id="30" w:name="_Toc11348"/>
      <w:bookmarkStart w:id="31" w:name="_Toc6167"/>
      <w:bookmarkStart w:id="32" w:name="_Toc5829"/>
      <w:bookmarkStart w:id="33" w:name="_Toc811"/>
      <w:r>
        <w:rPr>
          <w:rFonts w:hint="eastAsia" w:eastAsia="黑体"/>
          <w:sz w:val="28"/>
          <w:szCs w:val="28"/>
        </w:rPr>
        <w:t>供应商</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（盖单位章）</w:t>
      </w:r>
      <w:bookmarkEnd w:id="29"/>
      <w:bookmarkEnd w:id="30"/>
      <w:bookmarkEnd w:id="31"/>
      <w:bookmarkEnd w:id="32"/>
      <w:bookmarkEnd w:id="33"/>
    </w:p>
    <w:p w14:paraId="6F6C4815">
      <w:pPr>
        <w:jc w:val="center"/>
        <w:outlineLvl w:val="0"/>
        <w:rPr>
          <w:rFonts w:eastAsia="黑体"/>
          <w:sz w:val="28"/>
          <w:szCs w:val="28"/>
        </w:rPr>
      </w:pPr>
      <w:bookmarkStart w:id="34" w:name="_Toc1265"/>
      <w:bookmarkStart w:id="35" w:name="_Toc26173"/>
      <w:bookmarkStart w:id="36" w:name="_Toc31504"/>
      <w:bookmarkStart w:id="37" w:name="_Toc3469"/>
      <w:bookmarkStart w:id="38" w:name="_Toc17927"/>
      <w:r>
        <w:rPr>
          <w:rFonts w:eastAsia="黑体"/>
          <w:sz w:val="28"/>
          <w:szCs w:val="28"/>
        </w:rPr>
        <w:t>法定代表人或其委托代理人：</w:t>
      </w:r>
      <w:r>
        <w:rPr>
          <w:rFonts w:eastAsia="黑体"/>
          <w:sz w:val="28"/>
          <w:szCs w:val="28"/>
          <w:u w:val="single"/>
        </w:rPr>
        <w:t xml:space="preserve">                </w:t>
      </w:r>
      <w:r>
        <w:rPr>
          <w:rFonts w:eastAsia="黑体"/>
          <w:sz w:val="28"/>
          <w:szCs w:val="28"/>
        </w:rPr>
        <w:t>（签字</w:t>
      </w:r>
      <w:r>
        <w:rPr>
          <w:rFonts w:hint="eastAsia" w:eastAsia="黑体"/>
          <w:sz w:val="28"/>
          <w:szCs w:val="28"/>
        </w:rPr>
        <w:t>或盖章</w:t>
      </w:r>
      <w:r>
        <w:rPr>
          <w:rFonts w:eastAsia="黑体"/>
          <w:sz w:val="28"/>
          <w:szCs w:val="28"/>
        </w:rPr>
        <w:t>）</w:t>
      </w:r>
      <w:bookmarkEnd w:id="34"/>
      <w:bookmarkEnd w:id="35"/>
      <w:bookmarkEnd w:id="36"/>
      <w:bookmarkEnd w:id="37"/>
      <w:bookmarkEnd w:id="38"/>
    </w:p>
    <w:p w14:paraId="44AFD1DE">
      <w:pPr>
        <w:jc w:val="center"/>
        <w:outlineLvl w:val="0"/>
        <w:rPr>
          <w:rFonts w:eastAsia="黑体"/>
          <w:sz w:val="28"/>
          <w:szCs w:val="28"/>
        </w:rPr>
      </w:pPr>
      <w:r>
        <w:rPr>
          <w:rFonts w:eastAsia="黑体"/>
          <w:sz w:val="28"/>
          <w:szCs w:val="28"/>
          <w:u w:val="single"/>
        </w:rPr>
        <w:t xml:space="preserve">        </w:t>
      </w:r>
      <w:bookmarkStart w:id="39" w:name="_Toc3624"/>
      <w:bookmarkStart w:id="40" w:name="_Toc5369"/>
      <w:bookmarkStart w:id="41" w:name="_Toc18144"/>
      <w:bookmarkStart w:id="42" w:name="_Toc13185"/>
      <w:bookmarkStart w:id="43" w:name="_Toc17377"/>
      <w:r>
        <w:rPr>
          <w:rFonts w:eastAsia="黑体"/>
          <w:sz w:val="28"/>
          <w:szCs w:val="28"/>
        </w:rPr>
        <w:t>年</w:t>
      </w:r>
      <w:r>
        <w:rPr>
          <w:rFonts w:eastAsia="黑体"/>
          <w:sz w:val="28"/>
          <w:szCs w:val="28"/>
          <w:u w:val="single"/>
        </w:rPr>
        <w:t xml:space="preserve">        </w:t>
      </w:r>
      <w:r>
        <w:rPr>
          <w:rFonts w:eastAsia="黑体"/>
          <w:sz w:val="28"/>
          <w:szCs w:val="28"/>
        </w:rPr>
        <w:t>月</w:t>
      </w:r>
      <w:r>
        <w:rPr>
          <w:rFonts w:eastAsia="黑体"/>
          <w:sz w:val="28"/>
          <w:szCs w:val="28"/>
          <w:u w:val="single"/>
        </w:rPr>
        <w:t xml:space="preserve">        </w:t>
      </w:r>
      <w:r>
        <w:rPr>
          <w:rFonts w:eastAsia="黑体"/>
          <w:sz w:val="28"/>
          <w:szCs w:val="28"/>
        </w:rPr>
        <w:t>日</w:t>
      </w:r>
      <w:bookmarkEnd w:id="39"/>
      <w:bookmarkEnd w:id="40"/>
      <w:bookmarkEnd w:id="41"/>
      <w:bookmarkEnd w:id="42"/>
      <w:bookmarkEnd w:id="43"/>
    </w:p>
    <w:p w14:paraId="66F30155">
      <w:pPr>
        <w:spacing w:line="440" w:lineRule="exact"/>
        <w:rPr>
          <w:rFonts w:eastAsia="黑体"/>
          <w:sz w:val="20"/>
          <w:szCs w:val="20"/>
        </w:rPr>
      </w:pPr>
      <w:r>
        <w:rPr>
          <w:rFonts w:eastAsia="黑体"/>
          <w:sz w:val="20"/>
          <w:szCs w:val="20"/>
        </w:rPr>
        <w:br w:type="page"/>
      </w:r>
    </w:p>
    <w:p w14:paraId="134EC164">
      <w:pPr>
        <w:spacing w:line="400" w:lineRule="exact"/>
        <w:jc w:val="center"/>
        <w:outlineLvl w:val="0"/>
        <w:rPr>
          <w:rFonts w:ascii="宋体" w:hAnsi="宋体"/>
          <w:sz w:val="24"/>
        </w:rPr>
      </w:pPr>
      <w:bookmarkStart w:id="44" w:name="_Toc3592"/>
      <w:bookmarkStart w:id="45" w:name="_Toc24297"/>
      <w:bookmarkStart w:id="46" w:name="_Toc18048"/>
      <w:bookmarkStart w:id="47" w:name="_Toc14747"/>
      <w:bookmarkStart w:id="48" w:name="_Toc6604"/>
      <w:r>
        <w:rPr>
          <w:rFonts w:hint="eastAsia" w:ascii="宋体" w:hAnsi="宋体"/>
          <w:sz w:val="24"/>
        </w:rPr>
        <w:t>目  录</w:t>
      </w:r>
      <w:bookmarkEnd w:id="44"/>
      <w:bookmarkEnd w:id="45"/>
      <w:bookmarkEnd w:id="46"/>
      <w:bookmarkEnd w:id="47"/>
      <w:bookmarkEnd w:id="48"/>
    </w:p>
    <w:p w14:paraId="55A14D6E">
      <w:pPr>
        <w:spacing w:line="400" w:lineRule="exact"/>
        <w:jc w:val="center"/>
        <w:rPr>
          <w:rFonts w:ascii="宋体" w:hAnsi="宋体"/>
          <w:sz w:val="24"/>
        </w:rPr>
      </w:pPr>
    </w:p>
    <w:p w14:paraId="4810452D">
      <w:pPr>
        <w:spacing w:line="400" w:lineRule="exact"/>
        <w:ind w:firstLine="472" w:firstLineChars="196"/>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第一部分  价格文件</w:t>
      </w:r>
    </w:p>
    <w:p w14:paraId="10A93369">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一、《报价函》</w:t>
      </w:r>
    </w:p>
    <w:p w14:paraId="22874D96">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二、报价</w:t>
      </w:r>
    </w:p>
    <w:p w14:paraId="7CDCAA11">
      <w:pPr>
        <w:spacing w:line="400" w:lineRule="exact"/>
        <w:ind w:firstLine="472" w:firstLineChars="196"/>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第二部分  技术文件 </w:t>
      </w:r>
    </w:p>
    <w:p w14:paraId="579AF694">
      <w:pPr>
        <w:spacing w:line="400" w:lineRule="exact"/>
        <w:ind w:firstLine="470" w:firstLineChars="19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一、《技术条款偏离表》</w:t>
      </w:r>
    </w:p>
    <w:p w14:paraId="4EC39FDD">
      <w:pPr>
        <w:spacing w:line="400" w:lineRule="exact"/>
        <w:ind w:firstLine="472" w:firstLineChars="196"/>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第三部分  商务文件 </w:t>
      </w:r>
    </w:p>
    <w:p w14:paraId="52A89139">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一、谈判委托</w:t>
      </w:r>
    </w:p>
    <w:p w14:paraId="0C04C931">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二、供应商基本情况表</w:t>
      </w:r>
    </w:p>
    <w:p w14:paraId="67341536">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三、《商务条款偏离表》</w:t>
      </w:r>
    </w:p>
    <w:p w14:paraId="086E71BD">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四、投标人参加政府采购活动前3年内在经营活动中没有重大违法记录的书面声明（格式）</w:t>
      </w:r>
    </w:p>
    <w:p w14:paraId="477C7944">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五、中小企业声明函（格式）</w:t>
      </w:r>
    </w:p>
    <w:p w14:paraId="3FF4AE6E">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六、具备履行合同所必需的设备和专业技术能力的书面声明</w:t>
      </w:r>
    </w:p>
    <w:p w14:paraId="6657F635">
      <w:pPr>
        <w:spacing w:line="400" w:lineRule="exact"/>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七、其他</w:t>
      </w:r>
    </w:p>
    <w:p w14:paraId="28D88A6E">
      <w:pPr>
        <w:spacing w:line="400" w:lineRule="exact"/>
        <w:ind w:firstLine="2400" w:firstLineChars="1000"/>
        <w:outlineLvl w:val="0"/>
        <w:rPr>
          <w:rFonts w:ascii="宋体" w:hAnsi="宋体"/>
          <w:b/>
          <w:sz w:val="30"/>
          <w:szCs w:val="30"/>
        </w:rPr>
      </w:pPr>
      <w:r>
        <w:rPr>
          <w:rFonts w:hint="eastAsia" w:ascii="宋体" w:hAnsi="宋体"/>
          <w:sz w:val="24"/>
        </w:rPr>
        <w:br w:type="page"/>
      </w:r>
      <w:bookmarkStart w:id="49" w:name="_Toc9381"/>
      <w:bookmarkStart w:id="50" w:name="_Toc8167"/>
      <w:bookmarkStart w:id="51" w:name="_Toc7223"/>
      <w:bookmarkStart w:id="52" w:name="_Toc4743"/>
      <w:bookmarkStart w:id="53" w:name="_Toc28563"/>
      <w:r>
        <w:rPr>
          <w:rFonts w:hint="eastAsia" w:ascii="宋体" w:hAnsi="宋体"/>
          <w:b/>
          <w:sz w:val="30"/>
          <w:szCs w:val="30"/>
        </w:rPr>
        <w:t>第一部分  价格文件</w:t>
      </w:r>
      <w:bookmarkEnd w:id="49"/>
      <w:bookmarkEnd w:id="50"/>
      <w:bookmarkEnd w:id="51"/>
      <w:bookmarkEnd w:id="52"/>
      <w:bookmarkEnd w:id="53"/>
    </w:p>
    <w:p w14:paraId="74CF4FD1">
      <w:pPr>
        <w:spacing w:line="400" w:lineRule="exact"/>
        <w:ind w:firstLine="3012" w:firstLineChars="1000"/>
        <w:rPr>
          <w:rFonts w:ascii="宋体" w:hAnsi="宋体"/>
          <w:b/>
          <w:sz w:val="30"/>
          <w:szCs w:val="30"/>
        </w:rPr>
      </w:pPr>
    </w:p>
    <w:p w14:paraId="508FB40E">
      <w:pPr>
        <w:spacing w:line="400" w:lineRule="exact"/>
        <w:rPr>
          <w:rFonts w:ascii="宋体" w:hAnsi="宋体"/>
          <w:b/>
          <w:sz w:val="30"/>
          <w:szCs w:val="30"/>
        </w:rPr>
      </w:pPr>
      <w:r>
        <w:rPr>
          <w:rFonts w:hint="eastAsia" w:ascii="宋体" w:hAnsi="宋体"/>
          <w:b/>
          <w:sz w:val="30"/>
          <w:szCs w:val="30"/>
        </w:rPr>
        <w:t>一、 报价函（格式）</w:t>
      </w:r>
    </w:p>
    <w:p w14:paraId="56BD7BD8">
      <w:pPr>
        <w:spacing w:line="400" w:lineRule="exact"/>
        <w:rPr>
          <w:rFonts w:ascii="宋体" w:hAnsi="宋体"/>
          <w:sz w:val="24"/>
        </w:rPr>
      </w:pPr>
      <w:r>
        <w:rPr>
          <w:rFonts w:hint="eastAsia" w:ascii="宋体" w:hAnsi="宋体"/>
          <w:sz w:val="24"/>
        </w:rPr>
        <w:t>新沂市第六中学：</w:t>
      </w:r>
    </w:p>
    <w:p w14:paraId="369B968D">
      <w:pPr>
        <w:spacing w:line="400" w:lineRule="exact"/>
        <w:ind w:firstLine="480" w:firstLineChars="200"/>
        <w:rPr>
          <w:rFonts w:ascii="宋体" w:hAnsi="宋体"/>
          <w:sz w:val="24"/>
        </w:rPr>
      </w:pPr>
      <w:r>
        <w:rPr>
          <w:rFonts w:hint="eastAsia" w:ascii="宋体" w:hAnsi="宋体"/>
          <w:sz w:val="24"/>
        </w:rPr>
        <w:t>根据贵方为项目采购服务的谈判 （项目编号），签字人（姓名、职务）经正式授权并代表供应商（供应商名称、地址）提交谈判响应文件正本一份及副本二份（包括谈判文件要求提供的全部资料），据此函，签字代表宣布同意如下：</w:t>
      </w:r>
    </w:p>
    <w:p w14:paraId="00C294F7">
      <w:pPr>
        <w:spacing w:line="400" w:lineRule="exact"/>
        <w:ind w:firstLine="480" w:firstLineChars="200"/>
        <w:rPr>
          <w:rFonts w:ascii="宋体" w:hAnsi="宋体"/>
          <w:sz w:val="24"/>
        </w:rPr>
      </w:pPr>
      <w:r>
        <w:rPr>
          <w:rFonts w:hint="eastAsia" w:ascii="宋体" w:hAnsi="宋体"/>
          <w:sz w:val="24"/>
        </w:rPr>
        <w:t>1.所附报价表中规定的应提交和交付的报价总价见《报价表》。</w:t>
      </w:r>
    </w:p>
    <w:p w14:paraId="2D46BCA5">
      <w:pPr>
        <w:spacing w:line="400" w:lineRule="exact"/>
        <w:ind w:firstLine="480" w:firstLineChars="200"/>
        <w:rPr>
          <w:rFonts w:ascii="宋体" w:hAnsi="宋体"/>
          <w:sz w:val="24"/>
        </w:rPr>
      </w:pPr>
      <w:r>
        <w:rPr>
          <w:rFonts w:hint="eastAsia" w:ascii="宋体" w:hAnsi="宋体"/>
          <w:sz w:val="24"/>
        </w:rPr>
        <w:t>2.我方已详细审查全部谈判文件，包括有关澄清和补充说明（如果有）。我们完全理解并同意放弃对这方面有不明及误解的权力。</w:t>
      </w:r>
    </w:p>
    <w:p w14:paraId="7EDA8AE8">
      <w:pPr>
        <w:spacing w:line="400" w:lineRule="exact"/>
        <w:ind w:firstLine="480" w:firstLineChars="200"/>
        <w:rPr>
          <w:rFonts w:ascii="宋体" w:hAnsi="宋体"/>
          <w:sz w:val="24"/>
        </w:rPr>
      </w:pPr>
      <w:r>
        <w:rPr>
          <w:rFonts w:hint="eastAsia" w:ascii="宋体" w:hAnsi="宋体"/>
          <w:sz w:val="24"/>
        </w:rPr>
        <w:t>3.本谈判响应文件有效期为：自谈判之日起_个日历天（不少于30天）。在这期间，本谈判文件将始终对我方具有约束力，并可随时被接受。本次谈判文件和谈判响应文件（含承诺书）将作为买卖合同的附件。</w:t>
      </w:r>
    </w:p>
    <w:p w14:paraId="53027043">
      <w:pPr>
        <w:spacing w:line="400" w:lineRule="exact"/>
        <w:ind w:firstLine="480" w:firstLineChars="200"/>
        <w:rPr>
          <w:rFonts w:ascii="宋体" w:hAnsi="宋体"/>
          <w:sz w:val="24"/>
        </w:rPr>
      </w:pPr>
      <w:r>
        <w:rPr>
          <w:rFonts w:hint="eastAsia" w:ascii="宋体" w:hAnsi="宋体"/>
          <w:sz w:val="24"/>
        </w:rPr>
        <w:t>4.如果在规定的谈判采购活动开始时间后，我方在谈判有效期内撤回或撤销报价，我方同意谈判保证金被贵方没收。</w:t>
      </w:r>
    </w:p>
    <w:p w14:paraId="7CB23D04">
      <w:pPr>
        <w:spacing w:line="400" w:lineRule="exact"/>
        <w:ind w:firstLine="480" w:firstLineChars="200"/>
        <w:rPr>
          <w:rFonts w:ascii="宋体" w:hAnsi="宋体"/>
          <w:sz w:val="24"/>
        </w:rPr>
      </w:pPr>
      <w:r>
        <w:rPr>
          <w:rFonts w:hint="eastAsia" w:ascii="宋体" w:hAnsi="宋体"/>
          <w:sz w:val="24"/>
        </w:rPr>
        <w:t>5.我方愿意向采购单位提供与本次谈判响应的相关资料，并对其真实性、合法性、有效性负责。将严格履行本谈判文件中的全部承诺和责任，并遵守谈判文件中对供应商的所有约束和规定。</w:t>
      </w:r>
    </w:p>
    <w:p w14:paraId="03FDCD71">
      <w:pPr>
        <w:spacing w:line="400" w:lineRule="exact"/>
        <w:ind w:firstLine="480" w:firstLineChars="200"/>
        <w:rPr>
          <w:rFonts w:ascii="宋体" w:hAnsi="宋体"/>
          <w:sz w:val="24"/>
        </w:rPr>
      </w:pPr>
      <w:r>
        <w:rPr>
          <w:rFonts w:hint="eastAsia" w:ascii="宋体" w:hAnsi="宋体"/>
          <w:sz w:val="24"/>
        </w:rPr>
        <w:t>6.我方完全理解采购单位有保留在授标之前任何时候根据谈判小组的意见接受或拒绝任何报价的权力，并完全理解采购单位对此无解释的义务。</w:t>
      </w:r>
    </w:p>
    <w:p w14:paraId="5BDC1B8B">
      <w:pPr>
        <w:spacing w:line="400" w:lineRule="exact"/>
        <w:ind w:firstLine="480" w:firstLineChars="200"/>
        <w:rPr>
          <w:rFonts w:ascii="宋体" w:hAnsi="宋体"/>
          <w:sz w:val="24"/>
        </w:rPr>
      </w:pPr>
      <w:r>
        <w:rPr>
          <w:rFonts w:hint="eastAsia" w:ascii="宋体" w:hAnsi="宋体"/>
          <w:sz w:val="24"/>
        </w:rPr>
        <w:t>7.我方完全理解采购单位不一定接受谈判最低的报价。</w:t>
      </w:r>
    </w:p>
    <w:p w14:paraId="684986D1">
      <w:pPr>
        <w:spacing w:line="400" w:lineRule="exact"/>
        <w:ind w:firstLine="480" w:firstLineChars="200"/>
        <w:rPr>
          <w:rFonts w:ascii="宋体" w:hAnsi="宋体"/>
          <w:sz w:val="24"/>
        </w:rPr>
      </w:pPr>
      <w:r>
        <w:rPr>
          <w:rFonts w:hint="eastAsia" w:ascii="宋体" w:hAnsi="宋体"/>
          <w:sz w:val="24"/>
        </w:rPr>
        <w:t>8.我方承诺在此次谈判过程中涉及的一切应当保密的事项，不向任何第三方泄露，否则承担一切法律责任。</w:t>
      </w:r>
    </w:p>
    <w:p w14:paraId="4C00B9A6">
      <w:pPr>
        <w:spacing w:line="400" w:lineRule="exact"/>
        <w:ind w:firstLine="480" w:firstLineChars="200"/>
        <w:rPr>
          <w:rFonts w:ascii="宋体" w:hAnsi="宋体"/>
          <w:sz w:val="24"/>
        </w:rPr>
      </w:pPr>
      <w:r>
        <w:rPr>
          <w:rFonts w:hint="eastAsia" w:ascii="宋体" w:hAnsi="宋体"/>
          <w:sz w:val="24"/>
        </w:rPr>
        <w:t>9.如果我方中标，我们将在签订合同之后按照采购方规定的时间要求准时安装完成交货；并将按谈判文件的规定履行合同责任和义务。</w:t>
      </w:r>
    </w:p>
    <w:p w14:paraId="7107BA99">
      <w:pPr>
        <w:rPr>
          <w:rFonts w:ascii="宋体" w:hAnsi="宋体"/>
          <w:color w:val="000000" w:themeColor="text1"/>
          <w:sz w:val="24"/>
          <w14:textFill>
            <w14:solidFill>
              <w14:schemeClr w14:val="tx1"/>
            </w14:solidFill>
          </w14:textFill>
        </w:rPr>
      </w:pPr>
    </w:p>
    <w:p w14:paraId="5187778D">
      <w:pPr>
        <w:rPr>
          <w:rFonts w:ascii="宋体" w:hAnsi="宋体"/>
          <w:color w:val="000000" w:themeColor="text1"/>
          <w:sz w:val="24"/>
          <w14:textFill>
            <w14:solidFill>
              <w14:schemeClr w14:val="tx1"/>
            </w14:solidFill>
          </w14:textFill>
        </w:rPr>
      </w:pPr>
    </w:p>
    <w:p w14:paraId="34E3CCB1">
      <w:pPr>
        <w:rPr>
          <w:rFonts w:ascii="宋体" w:hAnsi="宋体"/>
          <w:color w:val="000000" w:themeColor="text1"/>
          <w:sz w:val="24"/>
          <w14:textFill>
            <w14:solidFill>
              <w14:schemeClr w14:val="tx1"/>
            </w14:solidFill>
          </w14:textFill>
        </w:rPr>
      </w:pPr>
    </w:p>
    <w:p w14:paraId="67F38036">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供应商名称（公章）： </w:t>
      </w:r>
    </w:p>
    <w:p w14:paraId="0B21B77F">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p>
    <w:p w14:paraId="43CEDE36">
      <w:pPr>
        <w:rPr>
          <w:rFonts w:ascii="宋体" w:hAns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143A4267">
      <w:pPr>
        <w:rPr>
          <w:rFonts w:ascii="宋体" w:hAnsi="宋体"/>
          <w:color w:val="000000" w:themeColor="text1"/>
          <w:sz w:val="24"/>
          <w14:textFill>
            <w14:solidFill>
              <w14:schemeClr w14:val="tx1"/>
            </w14:solidFill>
          </w14:textFill>
        </w:rPr>
      </w:pPr>
    </w:p>
    <w:p w14:paraId="4FA951EA">
      <w:pPr>
        <w:spacing w:line="400" w:lineRule="exact"/>
        <w:rPr>
          <w:rFonts w:ascii="宋体" w:hAnsi="宋体"/>
          <w:b/>
          <w:color w:val="000000" w:themeColor="text1"/>
          <w:sz w:val="30"/>
          <w:szCs w:val="30"/>
          <w14:textFill>
            <w14:solidFill>
              <w14:schemeClr w14:val="tx1"/>
            </w14:solidFill>
          </w14:textFill>
        </w:rPr>
      </w:pPr>
      <w:r>
        <w:rPr>
          <w:rFonts w:hint="eastAsia" w:hAnsi="宋体"/>
          <w:color w:val="000000" w:themeColor="text1"/>
          <w:sz w:val="24"/>
          <w14:textFill>
            <w14:solidFill>
              <w14:schemeClr w14:val="tx1"/>
            </w14:solidFill>
          </w14:textFill>
        </w:rPr>
        <w:t>日    期：</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年</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月</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日</w:t>
      </w:r>
      <w:r>
        <w:rPr>
          <w:rFonts w:hint="eastAsia" w:ascii="宋体" w:hAnsi="宋体"/>
          <w:color w:val="000000" w:themeColor="text1"/>
          <w:sz w:val="24"/>
          <w14:textFill>
            <w14:solidFill>
              <w14:schemeClr w14:val="tx1"/>
            </w14:solidFill>
          </w14:textFill>
        </w:rPr>
        <w:t xml:space="preserve"> </w:t>
      </w:r>
    </w:p>
    <w:p w14:paraId="062E988F">
      <w:pPr>
        <w:spacing w:line="400" w:lineRule="exact"/>
        <w:ind w:firstLine="151" w:firstLineChars="50"/>
        <w:rPr>
          <w:rFonts w:ascii="宋体" w:hAnsi="宋体"/>
          <w:b/>
          <w:color w:val="000000" w:themeColor="text1"/>
          <w:sz w:val="30"/>
          <w:szCs w:val="30"/>
          <w14:textFill>
            <w14:solidFill>
              <w14:schemeClr w14:val="tx1"/>
            </w14:solidFill>
          </w14:textFill>
        </w:rPr>
      </w:pPr>
    </w:p>
    <w:p w14:paraId="6CA90FA9">
      <w:pPr>
        <w:spacing w:line="400" w:lineRule="exact"/>
        <w:ind w:firstLine="151" w:firstLineChars="50"/>
        <w:rPr>
          <w:rFonts w:ascii="宋体" w:hAnsi="宋体"/>
          <w:b/>
          <w:color w:val="000000" w:themeColor="text1"/>
          <w:sz w:val="30"/>
          <w:szCs w:val="30"/>
          <w14:textFill>
            <w14:solidFill>
              <w14:schemeClr w14:val="tx1"/>
            </w14:solidFill>
          </w14:textFill>
        </w:rPr>
      </w:pPr>
    </w:p>
    <w:p w14:paraId="72BB2877">
      <w:pPr>
        <w:spacing w:line="400" w:lineRule="exact"/>
        <w:ind w:firstLine="151" w:firstLineChars="50"/>
        <w:rPr>
          <w:rFonts w:ascii="宋体" w:hAnsi="宋体"/>
          <w:b/>
          <w:color w:val="000000" w:themeColor="text1"/>
          <w:sz w:val="30"/>
          <w:szCs w:val="30"/>
          <w14:textFill>
            <w14:solidFill>
              <w14:schemeClr w14:val="tx1"/>
            </w14:solidFill>
          </w14:textFill>
        </w:rPr>
      </w:pPr>
    </w:p>
    <w:p w14:paraId="43274BDB">
      <w:pPr>
        <w:spacing w:line="400" w:lineRule="exact"/>
        <w:ind w:firstLine="151" w:firstLineChars="50"/>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二、报价</w:t>
      </w:r>
    </w:p>
    <w:p w14:paraId="20E59CB9">
      <w:pPr>
        <w:adjustRightInd w:val="0"/>
        <w:snapToGrid w:val="0"/>
        <w:spacing w:before="156" w:beforeLines="50" w:line="360" w:lineRule="auto"/>
        <w:jc w:val="center"/>
        <w:rPr>
          <w:rStyle w:val="66"/>
          <w:rFonts w:ascii="宋体" w:hAnsi="宋体" w:cs="宋体"/>
          <w:sz w:val="24"/>
          <w:szCs w:val="24"/>
        </w:rPr>
      </w:pPr>
      <w:r>
        <w:rPr>
          <w:rStyle w:val="66"/>
          <w:rFonts w:hint="eastAsia" w:ascii="宋体" w:hAnsi="宋体" w:cs="宋体"/>
          <w:sz w:val="24"/>
          <w:szCs w:val="24"/>
        </w:rPr>
        <w:t>谈判报价表</w:t>
      </w:r>
    </w:p>
    <w:p w14:paraId="44E33829">
      <w:pPr>
        <w:adjustRightInd w:val="0"/>
        <w:snapToGrid w:val="0"/>
        <w:spacing w:line="360" w:lineRule="auto"/>
        <w:jc w:val="center"/>
        <w:rPr>
          <w:rFonts w:ascii="宋体" w:hAnsi="宋体" w:cs="宋体"/>
          <w:sz w:val="24"/>
        </w:rPr>
      </w:pPr>
      <w:r>
        <w:rPr>
          <w:rFonts w:hint="eastAsia" w:ascii="宋体" w:hAnsi="宋体" w:cs="宋体"/>
          <w:sz w:val="24"/>
        </w:rPr>
        <w:t>（首次报价）</w:t>
      </w:r>
    </w:p>
    <w:p w14:paraId="1332FEF5">
      <w:pPr>
        <w:adjustRightInd w:val="0"/>
        <w:snapToGrid w:val="0"/>
        <w:spacing w:line="360" w:lineRule="auto"/>
        <w:ind w:firstLine="480" w:firstLineChars="200"/>
        <w:rPr>
          <w:rFonts w:hint="eastAsia" w:ascii="宋体" w:hAnsi="宋体" w:eastAsia="宋体" w:cs="宋体"/>
          <w:sz w:val="24"/>
          <w:lang w:val="en-US" w:eastAsia="zh-CN"/>
        </w:rPr>
      </w:pPr>
      <w:r>
        <w:rPr>
          <w:rFonts w:hint="eastAsia" w:ascii="宋体" w:hAnsi="宋体" w:cs="宋体"/>
          <w:sz w:val="24"/>
        </w:rPr>
        <w:t>项目编号：</w:t>
      </w:r>
      <w:r>
        <w:rPr>
          <w:rFonts w:hint="eastAsia" w:ascii="宋体" w:hAnsi="宋体" w:cs="宋体"/>
          <w:sz w:val="24"/>
          <w:highlight w:val="yellow"/>
        </w:rPr>
        <w:t>XYSGJZXYYSFW-202</w:t>
      </w:r>
      <w:r>
        <w:rPr>
          <w:rFonts w:hint="eastAsia" w:ascii="宋体" w:hAnsi="宋体" w:cs="宋体"/>
          <w:sz w:val="24"/>
          <w:highlight w:val="yellow"/>
          <w:lang w:val="en-US" w:eastAsia="zh-CN"/>
        </w:rPr>
        <w:t>6</w:t>
      </w:r>
    </w:p>
    <w:p w14:paraId="294B0DD9">
      <w:pPr>
        <w:adjustRightInd w:val="0"/>
        <w:snapToGrid w:val="0"/>
        <w:spacing w:line="360" w:lineRule="auto"/>
        <w:ind w:firstLine="480" w:firstLineChars="200"/>
        <w:rPr>
          <w:rFonts w:ascii="宋体" w:hAnsi="宋体" w:cs="宋体"/>
          <w:sz w:val="24"/>
        </w:rPr>
      </w:pPr>
      <w:r>
        <w:rPr>
          <w:rFonts w:hint="eastAsia" w:ascii="宋体" w:hAnsi="宋体" w:cs="宋体"/>
          <w:sz w:val="24"/>
        </w:rPr>
        <w:t>货币单位：人民币元</w:t>
      </w:r>
    </w:p>
    <w:tbl>
      <w:tblPr>
        <w:tblStyle w:val="23"/>
        <w:tblW w:w="9398" w:type="dxa"/>
        <w:jc w:val="center"/>
        <w:tblBorders>
          <w:top w:val="double" w:color="000000" w:sz="6" w:space="0"/>
          <w:left w:val="double" w:color="000000" w:sz="6" w:space="0"/>
          <w:bottom w:val="double" w:color="000000" w:sz="2" w:space="0"/>
          <w:right w:val="double" w:color="000000" w:sz="6" w:space="0"/>
          <w:insideH w:val="double" w:color="000000" w:sz="2" w:space="0"/>
          <w:insideV w:val="double" w:color="000000" w:sz="2" w:space="0"/>
        </w:tblBorders>
        <w:tblLayout w:type="fixed"/>
        <w:tblCellMar>
          <w:top w:w="0" w:type="dxa"/>
          <w:left w:w="108" w:type="dxa"/>
          <w:bottom w:w="0" w:type="dxa"/>
          <w:right w:w="108" w:type="dxa"/>
        </w:tblCellMar>
      </w:tblPr>
      <w:tblGrid>
        <w:gridCol w:w="1562"/>
        <w:gridCol w:w="2948"/>
        <w:gridCol w:w="2444"/>
        <w:gridCol w:w="2444"/>
      </w:tblGrid>
      <w:tr w14:paraId="7CAE2622">
        <w:tblPrEx>
          <w:tblBorders>
            <w:top w:val="double" w:color="000000" w:sz="6" w:space="0"/>
            <w:left w:val="double" w:color="000000" w:sz="6" w:space="0"/>
            <w:bottom w:val="double" w:color="000000" w:sz="2" w:space="0"/>
            <w:right w:val="double" w:color="000000" w:sz="6" w:space="0"/>
            <w:insideH w:val="double" w:color="000000" w:sz="2" w:space="0"/>
            <w:insideV w:val="double" w:color="000000" w:sz="2" w:space="0"/>
          </w:tblBorders>
          <w:tblCellMar>
            <w:top w:w="0" w:type="dxa"/>
            <w:left w:w="108" w:type="dxa"/>
            <w:bottom w:w="0" w:type="dxa"/>
            <w:right w:w="108" w:type="dxa"/>
          </w:tblCellMar>
        </w:tblPrEx>
        <w:trPr>
          <w:cantSplit/>
          <w:trHeight w:val="735" w:hRule="atLeast"/>
          <w:jc w:val="center"/>
        </w:trPr>
        <w:tc>
          <w:tcPr>
            <w:tcW w:w="1562" w:type="dxa"/>
            <w:tcBorders>
              <w:top w:val="double" w:color="000000" w:sz="6" w:space="0"/>
              <w:left w:val="double" w:color="000000" w:sz="6" w:space="0"/>
              <w:bottom w:val="double" w:color="000000" w:sz="2" w:space="0"/>
              <w:right w:val="double" w:color="000000" w:sz="2" w:space="0"/>
            </w:tcBorders>
            <w:vAlign w:val="center"/>
          </w:tcPr>
          <w:p w14:paraId="6D8227B1">
            <w:pPr>
              <w:adjustRightInd w:val="0"/>
              <w:snapToGrid w:val="0"/>
              <w:jc w:val="center"/>
              <w:rPr>
                <w:rFonts w:ascii="宋体" w:hAnsi="宋体" w:cs="宋体"/>
                <w:b/>
                <w:sz w:val="24"/>
              </w:rPr>
            </w:pPr>
            <w:r>
              <w:rPr>
                <w:rFonts w:hint="eastAsia" w:ascii="宋体" w:hAnsi="宋体" w:cs="宋体"/>
                <w:b/>
                <w:sz w:val="24"/>
              </w:rPr>
              <w:t>项目名称</w:t>
            </w:r>
          </w:p>
        </w:tc>
        <w:tc>
          <w:tcPr>
            <w:tcW w:w="2948" w:type="dxa"/>
            <w:tcBorders>
              <w:top w:val="double" w:color="000000" w:sz="6" w:space="0"/>
              <w:left w:val="double" w:color="000000" w:sz="2" w:space="0"/>
              <w:bottom w:val="double" w:color="000000" w:sz="2" w:space="0"/>
              <w:right w:val="double" w:color="000000" w:sz="2" w:space="0"/>
            </w:tcBorders>
            <w:vAlign w:val="center"/>
          </w:tcPr>
          <w:p w14:paraId="4553FB07">
            <w:pPr>
              <w:adjustRightInd w:val="0"/>
              <w:snapToGrid w:val="0"/>
              <w:jc w:val="center"/>
              <w:rPr>
                <w:rFonts w:ascii="宋体" w:hAnsi="宋体" w:cs="宋体"/>
                <w:b/>
                <w:sz w:val="24"/>
              </w:rPr>
            </w:pPr>
            <w:r>
              <w:rPr>
                <w:rFonts w:hint="eastAsia" w:ascii="宋体" w:hAnsi="宋体" w:cs="宋体"/>
                <w:sz w:val="24"/>
              </w:rPr>
              <w:t>项目内容</w:t>
            </w:r>
          </w:p>
        </w:tc>
        <w:tc>
          <w:tcPr>
            <w:tcW w:w="2444" w:type="dxa"/>
            <w:tcBorders>
              <w:top w:val="double" w:color="000000" w:sz="6" w:space="0"/>
              <w:left w:val="double" w:color="000000" w:sz="2" w:space="0"/>
              <w:bottom w:val="double" w:color="000000" w:sz="2" w:space="0"/>
              <w:right w:val="double" w:color="000000" w:sz="2" w:space="0"/>
            </w:tcBorders>
            <w:vAlign w:val="center"/>
          </w:tcPr>
          <w:p w14:paraId="3DEE9BE3">
            <w:pPr>
              <w:adjustRightInd w:val="0"/>
              <w:snapToGrid w:val="0"/>
              <w:jc w:val="center"/>
              <w:rPr>
                <w:rFonts w:ascii="宋体" w:hAnsi="宋体" w:cs="宋体"/>
                <w:b/>
                <w:sz w:val="24"/>
              </w:rPr>
            </w:pPr>
            <w:r>
              <w:rPr>
                <w:rFonts w:hint="eastAsia" w:ascii="宋体" w:hAnsi="宋体" w:cs="宋体"/>
                <w:b/>
                <w:sz w:val="24"/>
              </w:rPr>
              <w:t>报价（小写）</w:t>
            </w:r>
          </w:p>
        </w:tc>
        <w:tc>
          <w:tcPr>
            <w:tcW w:w="2444" w:type="dxa"/>
            <w:tcBorders>
              <w:top w:val="double" w:color="000000" w:sz="6" w:space="0"/>
              <w:left w:val="double" w:color="000000" w:sz="2" w:space="0"/>
              <w:bottom w:val="double" w:color="000000" w:sz="2" w:space="0"/>
              <w:right w:val="double" w:color="000000" w:sz="2" w:space="0"/>
            </w:tcBorders>
            <w:vAlign w:val="center"/>
          </w:tcPr>
          <w:p w14:paraId="77C03EE4">
            <w:pPr>
              <w:adjustRightInd w:val="0"/>
              <w:snapToGrid w:val="0"/>
              <w:jc w:val="center"/>
              <w:rPr>
                <w:rFonts w:ascii="宋体" w:hAnsi="宋体" w:cs="宋体"/>
                <w:b/>
                <w:sz w:val="24"/>
              </w:rPr>
            </w:pPr>
            <w:r>
              <w:rPr>
                <w:rFonts w:hint="eastAsia" w:ascii="宋体" w:hAnsi="宋体" w:cs="宋体"/>
                <w:b/>
                <w:sz w:val="24"/>
              </w:rPr>
              <w:t>备注</w:t>
            </w:r>
          </w:p>
        </w:tc>
      </w:tr>
      <w:tr w14:paraId="186074DD">
        <w:tblPrEx>
          <w:tblBorders>
            <w:top w:val="double" w:color="000000" w:sz="6" w:space="0"/>
            <w:left w:val="double" w:color="000000" w:sz="6" w:space="0"/>
            <w:bottom w:val="double" w:color="000000" w:sz="2" w:space="0"/>
            <w:right w:val="double" w:color="000000" w:sz="6" w:space="0"/>
            <w:insideH w:val="double" w:color="000000" w:sz="2" w:space="0"/>
            <w:insideV w:val="double" w:color="000000" w:sz="2" w:space="0"/>
          </w:tblBorders>
          <w:tblCellMar>
            <w:top w:w="0" w:type="dxa"/>
            <w:left w:w="108" w:type="dxa"/>
            <w:bottom w:w="0" w:type="dxa"/>
            <w:right w:w="108" w:type="dxa"/>
          </w:tblCellMar>
        </w:tblPrEx>
        <w:trPr>
          <w:cantSplit/>
          <w:trHeight w:val="1903" w:hRule="atLeast"/>
          <w:jc w:val="center"/>
        </w:trPr>
        <w:tc>
          <w:tcPr>
            <w:tcW w:w="1562" w:type="dxa"/>
            <w:tcBorders>
              <w:top w:val="double" w:color="000000" w:sz="2" w:space="0"/>
              <w:left w:val="double" w:color="000000" w:sz="6" w:space="0"/>
              <w:right w:val="double" w:color="000000" w:sz="2" w:space="0"/>
            </w:tcBorders>
            <w:vAlign w:val="center"/>
          </w:tcPr>
          <w:p w14:paraId="1537C07F">
            <w:pPr>
              <w:adjustRightInd w:val="0"/>
              <w:snapToGrid w:val="0"/>
              <w:rPr>
                <w:rFonts w:ascii="宋体" w:hAnsi="宋体" w:cs="宋体"/>
                <w:sz w:val="24"/>
              </w:rPr>
            </w:pPr>
            <w:r>
              <w:rPr>
                <w:rFonts w:hint="eastAsia" w:ascii="宋体" w:hAnsi="宋体" w:cs="宋体"/>
                <w:bCs/>
                <w:szCs w:val="21"/>
              </w:rPr>
              <w:t>新沂市第六中学教室监控设备项目</w:t>
            </w:r>
          </w:p>
        </w:tc>
        <w:tc>
          <w:tcPr>
            <w:tcW w:w="2948" w:type="dxa"/>
            <w:tcBorders>
              <w:top w:val="double" w:color="000000" w:sz="2" w:space="0"/>
              <w:left w:val="double" w:color="000000" w:sz="2" w:space="0"/>
              <w:right w:val="double" w:color="000000" w:sz="2" w:space="0"/>
            </w:tcBorders>
            <w:vAlign w:val="center"/>
          </w:tcPr>
          <w:p w14:paraId="7DFE6965">
            <w:pPr>
              <w:adjustRightInd w:val="0"/>
              <w:snapToGrid w:val="0"/>
              <w:rPr>
                <w:rFonts w:ascii="宋体" w:hAnsi="宋体" w:cs="宋体"/>
                <w:sz w:val="24"/>
              </w:rPr>
            </w:pPr>
            <w:r>
              <w:rPr>
                <w:rFonts w:hint="eastAsia" w:ascii="宋体" w:hAnsi="宋体" w:cs="宋体"/>
                <w:szCs w:val="21"/>
              </w:rPr>
              <w:t>详见</w:t>
            </w:r>
            <w:r>
              <w:rPr>
                <w:rFonts w:hint="eastAsia" w:ascii="宋体" w:hAnsi="宋体" w:cs="宋体"/>
                <w:bCs/>
                <w:szCs w:val="21"/>
              </w:rPr>
              <w:t>响应文件</w:t>
            </w:r>
          </w:p>
        </w:tc>
        <w:tc>
          <w:tcPr>
            <w:tcW w:w="2444" w:type="dxa"/>
            <w:tcBorders>
              <w:top w:val="double" w:color="000000" w:sz="2" w:space="0"/>
              <w:left w:val="double" w:color="000000" w:sz="2" w:space="0"/>
              <w:right w:val="double" w:color="000000" w:sz="2" w:space="0"/>
            </w:tcBorders>
            <w:vAlign w:val="center"/>
          </w:tcPr>
          <w:p w14:paraId="11519BD1">
            <w:pPr>
              <w:adjustRightInd w:val="0"/>
              <w:snapToGrid w:val="0"/>
              <w:rPr>
                <w:rFonts w:ascii="宋体" w:hAnsi="宋体" w:cs="宋体"/>
                <w:sz w:val="24"/>
              </w:rPr>
            </w:pPr>
          </w:p>
        </w:tc>
        <w:tc>
          <w:tcPr>
            <w:tcW w:w="2444" w:type="dxa"/>
            <w:tcBorders>
              <w:top w:val="double" w:color="000000" w:sz="2" w:space="0"/>
              <w:left w:val="double" w:color="000000" w:sz="2" w:space="0"/>
              <w:right w:val="double" w:color="000000" w:sz="2" w:space="0"/>
            </w:tcBorders>
            <w:vAlign w:val="center"/>
          </w:tcPr>
          <w:p w14:paraId="1E99200D">
            <w:pPr>
              <w:adjustRightInd w:val="0"/>
              <w:snapToGrid w:val="0"/>
              <w:rPr>
                <w:rFonts w:ascii="宋体" w:hAnsi="宋体" w:cs="宋体"/>
                <w:sz w:val="24"/>
              </w:rPr>
            </w:pPr>
          </w:p>
        </w:tc>
      </w:tr>
      <w:tr w14:paraId="0B3419C9">
        <w:tblPrEx>
          <w:tblBorders>
            <w:top w:val="double" w:color="000000" w:sz="6" w:space="0"/>
            <w:left w:val="double" w:color="000000" w:sz="6" w:space="0"/>
            <w:bottom w:val="double" w:color="000000" w:sz="2" w:space="0"/>
            <w:right w:val="double" w:color="000000" w:sz="6" w:space="0"/>
            <w:insideH w:val="double" w:color="000000" w:sz="2" w:space="0"/>
            <w:insideV w:val="double" w:color="000000" w:sz="2" w:space="0"/>
          </w:tblBorders>
          <w:tblCellMar>
            <w:top w:w="0" w:type="dxa"/>
            <w:left w:w="108" w:type="dxa"/>
            <w:bottom w:w="0" w:type="dxa"/>
            <w:right w:w="108" w:type="dxa"/>
          </w:tblCellMar>
        </w:tblPrEx>
        <w:trPr>
          <w:cantSplit/>
          <w:trHeight w:val="843" w:hRule="atLeast"/>
          <w:jc w:val="center"/>
        </w:trPr>
        <w:tc>
          <w:tcPr>
            <w:tcW w:w="1562" w:type="dxa"/>
            <w:tcBorders>
              <w:top w:val="double" w:color="000000" w:sz="2" w:space="0"/>
              <w:left w:val="double" w:color="000000" w:sz="6" w:space="0"/>
              <w:bottom w:val="double" w:color="000000" w:sz="2" w:space="0"/>
              <w:right w:val="double" w:color="000000" w:sz="2" w:space="0"/>
            </w:tcBorders>
            <w:vAlign w:val="center"/>
          </w:tcPr>
          <w:p w14:paraId="1AED9646">
            <w:pPr>
              <w:adjustRightInd w:val="0"/>
              <w:snapToGrid w:val="0"/>
              <w:rPr>
                <w:rFonts w:ascii="宋体" w:hAnsi="宋体" w:cs="宋体"/>
                <w:sz w:val="24"/>
              </w:rPr>
            </w:pPr>
            <w:r>
              <w:rPr>
                <w:rFonts w:hint="eastAsia" w:ascii="宋体" w:hAnsi="宋体" w:cs="宋体"/>
                <w:sz w:val="24"/>
              </w:rPr>
              <w:t>报价（大写）：</w:t>
            </w:r>
          </w:p>
        </w:tc>
        <w:tc>
          <w:tcPr>
            <w:tcW w:w="7836" w:type="dxa"/>
            <w:gridSpan w:val="3"/>
            <w:tcBorders>
              <w:top w:val="double" w:color="000000" w:sz="2" w:space="0"/>
              <w:left w:val="double" w:color="000000" w:sz="2" w:space="0"/>
              <w:bottom w:val="double" w:color="000000" w:sz="2" w:space="0"/>
              <w:right w:val="double" w:color="000000" w:sz="2" w:space="0"/>
            </w:tcBorders>
            <w:vAlign w:val="center"/>
          </w:tcPr>
          <w:p w14:paraId="0F4BF62B">
            <w:pPr>
              <w:adjustRightInd w:val="0"/>
              <w:snapToGrid w:val="0"/>
              <w:rPr>
                <w:rFonts w:ascii="宋体" w:hAnsi="宋体" w:cs="宋体"/>
                <w:sz w:val="24"/>
              </w:rPr>
            </w:pPr>
          </w:p>
        </w:tc>
      </w:tr>
    </w:tbl>
    <w:p w14:paraId="79B66B45">
      <w:pPr>
        <w:widowControl/>
        <w:adjustRightInd w:val="0"/>
        <w:snapToGrid w:val="0"/>
        <w:spacing w:line="360" w:lineRule="auto"/>
        <w:jc w:val="left"/>
        <w:rPr>
          <w:rFonts w:ascii="宋体" w:hAnsi="宋体" w:cs="宋体"/>
          <w:sz w:val="24"/>
        </w:rPr>
      </w:pPr>
    </w:p>
    <w:p w14:paraId="3A87D07A">
      <w:pPr>
        <w:widowControl/>
        <w:spacing w:line="360" w:lineRule="auto"/>
        <w:jc w:val="left"/>
        <w:rPr>
          <w:rFonts w:ascii="宋体" w:hAnsi="宋体" w:cs="宋体"/>
          <w:sz w:val="24"/>
        </w:rPr>
      </w:pPr>
      <w:r>
        <w:rPr>
          <w:rFonts w:hint="eastAsia" w:ascii="宋体" w:hAnsi="宋体" w:cs="宋体"/>
          <w:sz w:val="24"/>
        </w:rPr>
        <w:t>报价说明：</w:t>
      </w:r>
    </w:p>
    <w:p w14:paraId="71ADC16B">
      <w:pPr>
        <w:widowControl/>
        <w:spacing w:line="360" w:lineRule="auto"/>
        <w:ind w:left="480" w:hanging="480" w:hangingChars="200"/>
        <w:jc w:val="left"/>
        <w:rPr>
          <w:rFonts w:ascii="宋体" w:hAnsi="宋体" w:cs="宋体"/>
          <w:sz w:val="24"/>
        </w:rPr>
      </w:pPr>
      <w:r>
        <w:rPr>
          <w:rFonts w:hint="eastAsia" w:ascii="宋体" w:hAnsi="宋体" w:cs="宋体"/>
          <w:sz w:val="24"/>
        </w:rPr>
        <w:t>1、投标报价包括产品价、税金、运费、安装调试、检验、保险、验收、等完成本项目的全部费用。</w:t>
      </w:r>
    </w:p>
    <w:p w14:paraId="46E54709">
      <w:pPr>
        <w:widowControl/>
        <w:spacing w:line="360" w:lineRule="auto"/>
        <w:jc w:val="left"/>
        <w:rPr>
          <w:rFonts w:ascii="宋体" w:hAnsi="宋体" w:cs="宋体"/>
          <w:sz w:val="24"/>
        </w:rPr>
      </w:pPr>
      <w:r>
        <w:rPr>
          <w:rFonts w:hint="eastAsia" w:ascii="宋体" w:hAnsi="宋体" w:cs="宋体"/>
          <w:sz w:val="24"/>
        </w:rPr>
        <w:t>2、报价以总价为准，大小写不一致以大写为准；</w:t>
      </w:r>
    </w:p>
    <w:p w14:paraId="497A7EDB">
      <w:pPr>
        <w:widowControl/>
        <w:spacing w:line="360" w:lineRule="auto"/>
        <w:jc w:val="left"/>
        <w:rPr>
          <w:rFonts w:ascii="宋体" w:hAnsi="宋体" w:cs="宋体"/>
          <w:sz w:val="24"/>
        </w:rPr>
      </w:pPr>
      <w:r>
        <w:rPr>
          <w:rFonts w:hint="eastAsia" w:ascii="宋体" w:hAnsi="宋体" w:cs="宋体"/>
          <w:sz w:val="24"/>
        </w:rPr>
        <w:t>3、本表为格式文档，供应商应按规定完整填写，除可以增加行次外对本表不得作任何改动，否则报价无效。</w:t>
      </w:r>
    </w:p>
    <w:p w14:paraId="4720BDD5">
      <w:pPr>
        <w:widowControl/>
        <w:spacing w:line="360" w:lineRule="auto"/>
        <w:jc w:val="left"/>
        <w:rPr>
          <w:rFonts w:ascii="宋体" w:hAnsi="宋体" w:cs="宋体"/>
          <w:sz w:val="24"/>
        </w:rPr>
      </w:pPr>
      <w:r>
        <w:rPr>
          <w:rFonts w:hint="eastAsia" w:ascii="宋体" w:hAnsi="宋体" w:cs="宋体"/>
          <w:sz w:val="24"/>
        </w:rPr>
        <w:t>4、如最后报价未列明单价，则最后所报各项单价计算方法为：（最后报价/ 最初报价）* 各项最初报价的单价。</w:t>
      </w:r>
    </w:p>
    <w:p w14:paraId="68F75D9C">
      <w:pPr>
        <w:widowControl/>
        <w:adjustRightInd w:val="0"/>
        <w:snapToGrid w:val="0"/>
        <w:spacing w:line="360" w:lineRule="auto"/>
        <w:jc w:val="left"/>
        <w:rPr>
          <w:rFonts w:ascii="宋体" w:hAnsi="宋体" w:cs="宋体"/>
          <w:sz w:val="24"/>
        </w:rPr>
      </w:pPr>
    </w:p>
    <w:p w14:paraId="0BC18E0B">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供应商名称：</w:t>
      </w:r>
    </w:p>
    <w:p w14:paraId="3B8B9577">
      <w:pPr>
        <w:widowControl/>
        <w:adjustRightInd w:val="0"/>
        <w:snapToGrid w:val="0"/>
        <w:spacing w:line="360" w:lineRule="auto"/>
        <w:ind w:firstLine="480" w:firstLineChars="200"/>
        <w:jc w:val="left"/>
        <w:rPr>
          <w:rFonts w:ascii="宋体" w:hAnsi="宋体" w:cs="宋体"/>
          <w:sz w:val="24"/>
        </w:rPr>
      </w:pPr>
    </w:p>
    <w:p w14:paraId="0AF16AB8">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供应商（公章）：</w:t>
      </w:r>
    </w:p>
    <w:p w14:paraId="55D75CF6">
      <w:pPr>
        <w:widowControl/>
        <w:adjustRightInd w:val="0"/>
        <w:snapToGrid w:val="0"/>
        <w:spacing w:line="360" w:lineRule="auto"/>
        <w:jc w:val="left"/>
        <w:rPr>
          <w:rFonts w:ascii="宋体" w:hAnsi="宋体" w:cs="宋体"/>
          <w:sz w:val="24"/>
        </w:rPr>
      </w:pPr>
    </w:p>
    <w:p w14:paraId="60FF04B2">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rPr>
        <w:t>法定代表人(负责人)或授权代表（签字或盖章）：</w:t>
      </w:r>
    </w:p>
    <w:p w14:paraId="45E1189F">
      <w:pPr>
        <w:adjustRightInd w:val="0"/>
        <w:snapToGrid w:val="0"/>
        <w:spacing w:line="360" w:lineRule="auto"/>
        <w:ind w:firstLine="480" w:firstLineChars="200"/>
        <w:jc w:val="left"/>
        <w:rPr>
          <w:rFonts w:ascii="宋体" w:hAnsi="宋体" w:cs="宋体"/>
          <w:sz w:val="24"/>
        </w:rPr>
      </w:pPr>
    </w:p>
    <w:p w14:paraId="49AE137D">
      <w:pPr>
        <w:spacing w:line="400" w:lineRule="exact"/>
        <w:rPr>
          <w:rFonts w:ascii="宋体" w:hAnsi="宋体" w:cs="宋体"/>
          <w:sz w:val="24"/>
        </w:rPr>
      </w:pPr>
      <w:r>
        <w:rPr>
          <w:rFonts w:hint="eastAsia" w:ascii="宋体" w:hAnsi="宋体" w:cs="宋体"/>
          <w:sz w:val="24"/>
        </w:rPr>
        <w:t>日期：   年  月  日</w:t>
      </w:r>
    </w:p>
    <w:p w14:paraId="119EE802">
      <w:pPr>
        <w:spacing w:line="400" w:lineRule="exact"/>
        <w:rPr>
          <w:rFonts w:ascii="宋体" w:hAnsi="宋体" w:cs="宋体"/>
          <w:sz w:val="24"/>
        </w:rPr>
      </w:pPr>
    </w:p>
    <w:p w14:paraId="263A7B76">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（二）分项报价表</w:t>
      </w:r>
    </w:p>
    <w:p w14:paraId="119A94F5">
      <w:pPr>
        <w:adjustRightInd w:val="0"/>
        <w:snapToGrid w:val="0"/>
        <w:spacing w:line="360" w:lineRule="auto"/>
        <w:ind w:firstLine="480" w:firstLineChars="200"/>
        <w:rPr>
          <w:rFonts w:hint="eastAsia" w:ascii="宋体" w:hAnsi="宋体" w:cs="宋体"/>
          <w:sz w:val="24"/>
          <w:highlight w:val="yellow"/>
          <w:lang w:val="en-US" w:eastAsia="zh-CN"/>
        </w:rPr>
      </w:pPr>
      <w:r>
        <w:rPr>
          <w:rFonts w:hint="eastAsia" w:ascii="宋体" w:hAnsi="宋体" w:cs="宋体"/>
          <w:sz w:val="24"/>
        </w:rPr>
        <w:t>项目编号：</w:t>
      </w:r>
      <w:r>
        <w:rPr>
          <w:rFonts w:hint="eastAsia" w:ascii="宋体" w:hAnsi="宋体" w:cs="宋体"/>
          <w:sz w:val="24"/>
          <w:highlight w:val="yellow"/>
        </w:rPr>
        <w:t>XYSGJZXYYSFW-202</w:t>
      </w:r>
      <w:r>
        <w:rPr>
          <w:rFonts w:hint="eastAsia" w:ascii="宋体" w:hAnsi="宋体" w:cs="宋体"/>
          <w:sz w:val="24"/>
          <w:highlight w:val="yellow"/>
          <w:lang w:val="en-US" w:eastAsia="zh-CN"/>
        </w:rPr>
        <w:t>6</w:t>
      </w:r>
    </w:p>
    <w:p w14:paraId="67D8E002">
      <w:pPr>
        <w:adjustRightInd w:val="0"/>
        <w:snapToGrid w:val="0"/>
        <w:spacing w:line="360" w:lineRule="auto"/>
        <w:ind w:firstLine="480" w:firstLineChars="200"/>
        <w:rPr>
          <w:rFonts w:ascii="宋体" w:hAnsi="宋体" w:cs="宋体"/>
          <w:sz w:val="24"/>
        </w:rPr>
      </w:pPr>
      <w:r>
        <w:rPr>
          <w:rFonts w:hint="eastAsia" w:ascii="宋体" w:hAnsi="宋体" w:cs="宋体"/>
          <w:sz w:val="24"/>
        </w:rPr>
        <w:t>货币单位：人民币元</w:t>
      </w:r>
    </w:p>
    <w:p w14:paraId="5EA2D7B3">
      <w:pPr>
        <w:spacing w:line="400" w:lineRule="exact"/>
        <w:rPr>
          <w:rFonts w:ascii="宋体" w:hAnsi="宋体"/>
          <w:b/>
          <w:color w:val="000000" w:themeColor="text1"/>
          <w:sz w:val="30"/>
          <w:szCs w:val="30"/>
          <w14:textFill>
            <w14:solidFill>
              <w14:schemeClr w14:val="tx1"/>
            </w14:solidFill>
          </w14:textFill>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2"/>
        <w:gridCol w:w="4869"/>
        <w:gridCol w:w="588"/>
        <w:gridCol w:w="402"/>
        <w:gridCol w:w="402"/>
        <w:gridCol w:w="402"/>
        <w:gridCol w:w="402"/>
      </w:tblGrid>
      <w:tr w14:paraId="1053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EE5675">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序号</w:t>
            </w:r>
          </w:p>
        </w:tc>
        <w:tc>
          <w:tcPr>
            <w:tcW w:w="782" w:type="dxa"/>
          </w:tcPr>
          <w:p w14:paraId="680D7EF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名称</w:t>
            </w:r>
          </w:p>
        </w:tc>
        <w:tc>
          <w:tcPr>
            <w:tcW w:w="4869" w:type="dxa"/>
          </w:tcPr>
          <w:p w14:paraId="55D5A9EB">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技术参数</w:t>
            </w:r>
          </w:p>
        </w:tc>
        <w:tc>
          <w:tcPr>
            <w:tcW w:w="588" w:type="dxa"/>
          </w:tcPr>
          <w:p w14:paraId="081A2A3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数量</w:t>
            </w:r>
          </w:p>
        </w:tc>
        <w:tc>
          <w:tcPr>
            <w:tcW w:w="402" w:type="dxa"/>
          </w:tcPr>
          <w:p w14:paraId="2D9874DD">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单位</w:t>
            </w:r>
          </w:p>
        </w:tc>
        <w:tc>
          <w:tcPr>
            <w:tcW w:w="402" w:type="dxa"/>
          </w:tcPr>
          <w:p w14:paraId="7D9BFB5A">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单价</w:t>
            </w:r>
          </w:p>
          <w:p w14:paraId="4CF81BF3">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（元）</w:t>
            </w:r>
          </w:p>
        </w:tc>
        <w:tc>
          <w:tcPr>
            <w:tcW w:w="402" w:type="dxa"/>
          </w:tcPr>
          <w:p w14:paraId="131E0670">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总价（元）</w:t>
            </w:r>
          </w:p>
        </w:tc>
        <w:tc>
          <w:tcPr>
            <w:tcW w:w="402" w:type="dxa"/>
          </w:tcPr>
          <w:p w14:paraId="629DD49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备注</w:t>
            </w:r>
          </w:p>
        </w:tc>
      </w:tr>
      <w:tr w14:paraId="14FE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2522F92">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782" w:type="dxa"/>
          </w:tcPr>
          <w:p w14:paraId="1974764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400W摄像头</w:t>
            </w:r>
          </w:p>
        </w:tc>
        <w:tc>
          <w:tcPr>
            <w:tcW w:w="4869" w:type="dxa"/>
          </w:tcPr>
          <w:p w14:paraId="708278E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1、智能侦测功能</w:t>
            </w:r>
          </w:p>
          <w:p w14:paraId="6DCC2612">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支持移动侦测、人形检测、异常事件侦测，侦测事件可实现抓图、录像、告警上传</w:t>
            </w:r>
          </w:p>
          <w:p w14:paraId="3CD66B7F">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2、接口</w:t>
            </w:r>
          </w:p>
          <w:p w14:paraId="62F4C386">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网络：1个RJ45 10 M/100 M自适应以太网口</w:t>
            </w:r>
          </w:p>
          <w:p w14:paraId="109C59B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音频：1个内置麦克风</w:t>
            </w:r>
          </w:p>
          <w:p w14:paraId="10A9660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3、补光</w:t>
            </w:r>
          </w:p>
          <w:p w14:paraId="530F4FA4">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补光灯类型：智能补光，可切换白光灯、红外灯</w:t>
            </w:r>
          </w:p>
          <w:p w14:paraId="216E1512">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防补光过曝：支持</w:t>
            </w:r>
          </w:p>
          <w:p w14:paraId="45FD13C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波长范围：850 nm</w:t>
            </w:r>
          </w:p>
          <w:p w14:paraId="1C0B87D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补光距离：红外光最远可达30 m，白光最远可达20 m</w:t>
            </w:r>
          </w:p>
          <w:p w14:paraId="59F2FAA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4、网络</w:t>
            </w:r>
          </w:p>
          <w:p w14:paraId="1E6CB652">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支持TCP/IP、DHCP、DNS、RTSP、NTP、IPv4、IPv6等通用网络协议；支持GB/T28181国家标准协议接入；支持分级用户权限管理；支持多路客户端同时预览访问。</w:t>
            </w:r>
          </w:p>
          <w:p w14:paraId="257C438F">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5、通用功能</w:t>
            </w:r>
          </w:p>
          <w:p w14:paraId="468063F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事件告警可支持FTP上传、平台推送、邮件告警；支持心跳保活、画面镜像、密码权限管理、视频水印防篡改；可通过浏览器或通用客户端远程恢复出厂设置。</w:t>
            </w:r>
          </w:p>
          <w:p w14:paraId="334AF06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工作环境：工作温度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℃，工作湿度小于</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（无凝结）。</w:t>
            </w:r>
          </w:p>
          <w:p w14:paraId="7E844DC7">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6、视频</w:t>
            </w:r>
          </w:p>
          <w:p w14:paraId="0A164F24">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最大分辨率≥2560×1440；50Hz模式下，主码流25fps，支持2560×1440、1920×1080、1280×720分辨率；子码流25fps，支持1280×720、640×480、640×360分辨率。</w:t>
            </w:r>
          </w:p>
          <w:p w14:paraId="7D0EE756">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视频编码支持H.264、H.265，子码流兼容MJPEG；支持智能编码压缩；码率可调范围32Kbps～8Mbps；支持定码率、变码率控制；支持SVC分层编码、主码流ROI感兴趣区域编码。</w:t>
            </w:r>
          </w:p>
          <w:p w14:paraId="4FD937D0">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7、镜头</w:t>
            </w:r>
          </w:p>
          <w:p w14:paraId="0A6BFD45">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标配2.8mm定焦镜头，固定光圈，最大光圈F1.6；水平视场角≥98°，垂直视场角≥54°，对角视场角≥115°；采用M12镜头接口。</w:t>
            </w:r>
          </w:p>
          <w:p w14:paraId="6CD3C4C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镜头焦距可选择：4mm、6mm、8mm。</w:t>
            </w:r>
          </w:p>
          <w:p w14:paraId="5375F532">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摄像机安装角度可调：水平</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360</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、垂直</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75</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、旋转</w:t>
            </w:r>
            <w:r>
              <w:rPr>
                <w:rFonts w:asciiTheme="minorEastAsia" w:hAnsiTheme="minorEastAsia" w:eastAsiaTheme="minorEastAsia"/>
                <w:color w:val="000000" w:themeColor="text1"/>
                <w:sz w:val="24"/>
                <w14:textFill>
                  <w14:solidFill>
                    <w14:schemeClr w14:val="tx1"/>
                  </w14:solidFill>
                </w14:textFill>
              </w:rPr>
              <w:t>0°</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360</w:t>
            </w:r>
            <w:r>
              <w:rPr>
                <w:rFonts w:hint="eastAsia" w:ascii="宋体" w:hAnsi="宋体" w:cs="宋体"/>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w:t>
            </w:r>
          </w:p>
          <w:p w14:paraId="73427D7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8、图像</w:t>
            </w:r>
          </w:p>
          <w:p w14:paraId="572B0AD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可远程调节饱和度、亮度、对比度、锐度、自动增益、白平衡；日夜切换模式包含白天、夜晚、自动、定时；采用ICR红外滤片物理切换；具备背光补偿、强光抑制、3D数字降噪功能。</w:t>
            </w:r>
          </w:p>
          <w:p w14:paraId="21551FF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9、认证</w:t>
            </w:r>
          </w:p>
          <w:p w14:paraId="5B8349EE">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设备防护等级≥IP67。</w:t>
            </w:r>
          </w:p>
          <w:p w14:paraId="27F86FE8">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10、音频</w:t>
            </w:r>
          </w:p>
          <w:p w14:paraId="544231D1">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音频压缩标准：G.711ulaw/G.711alaw/G.722.1/G.726/MP2L2/PCM/AAC-LC</w:t>
            </w:r>
          </w:p>
          <w:p w14:paraId="196A253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音频压缩码率：64 Kbps（G.711ulaw/G.711alaw）/16 Kbps（G.722.1）/16 Kbps（G.726）/32~160 Kbps（MP2L2）/16~64 Kbps（AAC-LC）</w:t>
            </w:r>
          </w:p>
          <w:p w14:paraId="5D85AF2C">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音频采样率：8 kHz/16 kHz</w:t>
            </w:r>
          </w:p>
          <w:p w14:paraId="23DF2BDD">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音频环境噪声过滤：支持</w:t>
            </w:r>
          </w:p>
          <w:p w14:paraId="02177A2A">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11、摄像机</w:t>
            </w:r>
          </w:p>
          <w:p w14:paraId="4060E5BD">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传感器类型：1/3" Progressive Scan CMOS</w:t>
            </w:r>
          </w:p>
          <w:p w14:paraId="4187E929">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最低照度：彩色：0.005 Lux</w:t>
            </w:r>
          </w:p>
          <w:p w14:paraId="16BE5FE3">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快门：1/3 s~1/100,000 s</w:t>
            </w:r>
          </w:p>
          <w:p w14:paraId="5630EC55">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宽动态：120 dB</w:t>
            </w:r>
          </w:p>
          <w:p w14:paraId="775012A5">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日夜切换模式：ICR红外滤片式</w:t>
            </w:r>
          </w:p>
          <w:p w14:paraId="7A2FE092">
            <w:pPr>
              <w:jc w:val="left"/>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调节角度：水平：0°~360°，垂直：0°~75°，旋转：0°~360°</w:t>
            </w:r>
          </w:p>
        </w:tc>
        <w:tc>
          <w:tcPr>
            <w:tcW w:w="588" w:type="dxa"/>
          </w:tcPr>
          <w:p w14:paraId="10615E6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r>
              <w:rPr>
                <w:rFonts w:asciiTheme="minorEastAsia" w:hAnsiTheme="minorEastAsia" w:eastAsiaTheme="minorEastAsia"/>
                <w:color w:val="000000" w:themeColor="text1"/>
                <w:sz w:val="24"/>
                <w14:textFill>
                  <w14:solidFill>
                    <w14:schemeClr w14:val="tx1"/>
                  </w14:solidFill>
                </w14:textFill>
              </w:rPr>
              <w:t>4</w:t>
            </w:r>
          </w:p>
        </w:tc>
        <w:tc>
          <w:tcPr>
            <w:tcW w:w="402" w:type="dxa"/>
          </w:tcPr>
          <w:p w14:paraId="69998276">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05EC9F8D">
            <w:pPr>
              <w:jc w:val="center"/>
              <w:rPr>
                <w:rFonts w:asciiTheme="minorEastAsia" w:hAnsiTheme="minorEastAsia" w:eastAsiaTheme="minorEastAsia"/>
                <w:color w:val="000000" w:themeColor="text1"/>
                <w:sz w:val="24"/>
                <w14:textFill>
                  <w14:solidFill>
                    <w14:schemeClr w14:val="tx1"/>
                  </w14:solidFill>
                </w14:textFill>
              </w:rPr>
            </w:pPr>
          </w:p>
        </w:tc>
        <w:tc>
          <w:tcPr>
            <w:tcW w:w="402" w:type="dxa"/>
          </w:tcPr>
          <w:p w14:paraId="54960C3F">
            <w:pPr>
              <w:jc w:val="center"/>
              <w:rPr>
                <w:rFonts w:asciiTheme="minorEastAsia" w:hAnsiTheme="minorEastAsia" w:eastAsiaTheme="minorEastAsia"/>
                <w:color w:val="000000" w:themeColor="text1"/>
                <w:sz w:val="24"/>
                <w14:textFill>
                  <w14:solidFill>
                    <w14:schemeClr w14:val="tx1"/>
                  </w14:solidFill>
                </w14:textFill>
              </w:rPr>
            </w:pPr>
          </w:p>
        </w:tc>
        <w:tc>
          <w:tcPr>
            <w:tcW w:w="402" w:type="dxa"/>
          </w:tcPr>
          <w:p w14:paraId="3125D7DB">
            <w:pPr>
              <w:jc w:val="center"/>
              <w:rPr>
                <w:rFonts w:asciiTheme="minorEastAsia" w:hAnsiTheme="minorEastAsia" w:eastAsiaTheme="minorEastAsia"/>
                <w:color w:val="000000" w:themeColor="text1"/>
                <w:sz w:val="24"/>
                <w14:textFill>
                  <w14:solidFill>
                    <w14:schemeClr w14:val="tx1"/>
                  </w14:solidFill>
                </w14:textFill>
              </w:rPr>
            </w:pPr>
          </w:p>
        </w:tc>
      </w:tr>
      <w:tr w14:paraId="72E2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554C48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782" w:type="dxa"/>
          </w:tcPr>
          <w:p w14:paraId="181312C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半球摄像头支架</w:t>
            </w:r>
          </w:p>
        </w:tc>
        <w:tc>
          <w:tcPr>
            <w:tcW w:w="4869" w:type="dxa"/>
          </w:tcPr>
          <w:p w14:paraId="637C698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定制</w:t>
            </w:r>
          </w:p>
          <w:p w14:paraId="4A39CD3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1、材质：采用优质高强度金属材质，表面静电喷塑、防锈、防腐蚀、抗氧化，室内长期使用不掉漆、不生锈。</w:t>
            </w:r>
          </w:p>
          <w:p w14:paraId="462DD03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2、结构：可多角度调节，水平、垂直角度可调，适配教室墙面、吊顶各类安装场景。</w:t>
            </w:r>
          </w:p>
          <w:p w14:paraId="6A6B95F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3、承重：结构稳固，承重能力强，可牢固固定摄像机，有效防止设备松动、脱落。</w:t>
            </w:r>
          </w:p>
          <w:p w14:paraId="64920E9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4、适配性：兼容市面主流室内半球摄像机，安装孔位通用，布线隐藏式设计，整体美观整洁。</w:t>
            </w:r>
          </w:p>
          <w:p w14:paraId="5ED571F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5、工艺：做工精细，边缘光滑无毛刺，贴合校园标准化施工美观要求。</w:t>
            </w:r>
          </w:p>
        </w:tc>
        <w:tc>
          <w:tcPr>
            <w:tcW w:w="588" w:type="dxa"/>
          </w:tcPr>
          <w:p w14:paraId="40F4F67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r>
              <w:rPr>
                <w:rFonts w:asciiTheme="minorEastAsia" w:hAnsiTheme="minorEastAsia" w:eastAsiaTheme="minorEastAsia"/>
                <w:color w:val="000000" w:themeColor="text1"/>
                <w:sz w:val="24"/>
                <w14:textFill>
                  <w14:solidFill>
                    <w14:schemeClr w14:val="tx1"/>
                  </w14:solidFill>
                </w14:textFill>
              </w:rPr>
              <w:t>4</w:t>
            </w:r>
          </w:p>
        </w:tc>
        <w:tc>
          <w:tcPr>
            <w:tcW w:w="402" w:type="dxa"/>
          </w:tcPr>
          <w:p w14:paraId="4BFC091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套</w:t>
            </w:r>
          </w:p>
        </w:tc>
        <w:tc>
          <w:tcPr>
            <w:tcW w:w="402" w:type="dxa"/>
          </w:tcPr>
          <w:p w14:paraId="09EF484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C3D2F1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BBC4E9D">
            <w:pPr>
              <w:rPr>
                <w:rFonts w:asciiTheme="minorEastAsia" w:hAnsiTheme="minorEastAsia" w:eastAsiaTheme="minorEastAsia"/>
                <w:color w:val="000000" w:themeColor="text1"/>
                <w:sz w:val="24"/>
                <w14:textFill>
                  <w14:solidFill>
                    <w14:schemeClr w14:val="tx1"/>
                  </w14:solidFill>
                </w14:textFill>
              </w:rPr>
            </w:pPr>
          </w:p>
        </w:tc>
      </w:tr>
      <w:tr w14:paraId="19890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90CA58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p>
        </w:tc>
        <w:tc>
          <w:tcPr>
            <w:tcW w:w="782" w:type="dxa"/>
          </w:tcPr>
          <w:p w14:paraId="37F4741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线槽</w:t>
            </w:r>
          </w:p>
        </w:tc>
        <w:tc>
          <w:tcPr>
            <w:tcW w:w="4869" w:type="dxa"/>
          </w:tcPr>
          <w:p w14:paraId="7069CEC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定制</w:t>
            </w:r>
          </w:p>
          <w:p w14:paraId="4869790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1、材质：采用全新PVC阻燃塑料材质，阻燃、绝缘、防腐蚀、韧性强、不易断裂。</w:t>
            </w:r>
          </w:p>
          <w:p w14:paraId="7CD727E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2、安全性能：具备高绝缘性能，有效保护线路安全，杜绝漏电、短路隐患，符合校园电气安全规范。</w:t>
            </w:r>
          </w:p>
          <w:p w14:paraId="4CCC1B4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3、工艺特点：槽体壁厚均匀，卡扣紧密，开合顺畅，不易变形、不易脱落；布线规整、隐蔽、美观。</w:t>
            </w:r>
          </w:p>
          <w:p w14:paraId="646DF6C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4、施工标准：适配监控网线、电源线并行敷设，保护线路不受磨损、挤压、老化，延长线路使用寿命。</w:t>
            </w:r>
          </w:p>
          <w:p w14:paraId="6665B6A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5、环境适应性：防潮、防尘、耐候性强，适配教室长期室内环境使用，符合弱电工程施工规范。</w:t>
            </w:r>
          </w:p>
          <w:p w14:paraId="08EFB7A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6、外观：表面光滑平整，色泽统一，贴合校园整体装修整洁美观要求。</w:t>
            </w:r>
          </w:p>
        </w:tc>
        <w:tc>
          <w:tcPr>
            <w:tcW w:w="588" w:type="dxa"/>
          </w:tcPr>
          <w:p w14:paraId="446924E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53C13A8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48F58071">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FFC1C83">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A1E7B06">
            <w:pPr>
              <w:rPr>
                <w:rFonts w:asciiTheme="minorEastAsia" w:hAnsiTheme="minorEastAsia" w:eastAsiaTheme="minorEastAsia"/>
                <w:color w:val="000000" w:themeColor="text1"/>
                <w:sz w:val="24"/>
                <w14:textFill>
                  <w14:solidFill>
                    <w14:schemeClr w14:val="tx1"/>
                  </w14:solidFill>
                </w14:textFill>
              </w:rPr>
            </w:pPr>
          </w:p>
        </w:tc>
      </w:tr>
      <w:tr w14:paraId="5ED3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8383F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782" w:type="dxa"/>
          </w:tcPr>
          <w:p w14:paraId="58B52D1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16口POE交换机千兆</w:t>
            </w:r>
          </w:p>
        </w:tc>
        <w:tc>
          <w:tcPr>
            <w:tcW w:w="4869" w:type="dxa"/>
          </w:tcPr>
          <w:p w14:paraId="5FF6F4B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1、端口规格：配备不少于16个百兆PoE电口、1个千兆上行电口、1个千兆光电复用口，满足监控终端接入及网络上行扩容需求。</w:t>
            </w:r>
          </w:p>
          <w:p w14:paraId="167CE00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2、性能参数：交换容量≥7.2Gbps，包转发率≥5.36Mpps，满足多终端稳定数据传输。</w:t>
            </w:r>
          </w:p>
          <w:p w14:paraId="44DC5CE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3、POE供电：完全符合IEEE802.3af/at通用供电标准，整机最大POE输出功率≥230W；具备PD功率智能检测、系统级过载保护功能，可自动适配受电设备功率，防止过载损坏设备。</w:t>
            </w:r>
          </w:p>
          <w:p w14:paraId="3806B71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4、安全防护：端口支持≥6kV防浪涌防护，有效抵御雷击、静电干扰，适配校园室内弱电环境长期稳定运行。</w:t>
            </w:r>
          </w:p>
          <w:p w14:paraId="14140E4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5、安装方式：支持标准机架式安装，适配机房机柜部署，结构稳固、便于集中运维。</w:t>
            </w:r>
          </w:p>
          <w:p w14:paraId="6F91011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6、工作环境：适配室内常规温湿度环境，支持长期不间断通电运行，满足监控系统全天候工作需求。</w:t>
            </w:r>
          </w:p>
        </w:tc>
        <w:tc>
          <w:tcPr>
            <w:tcW w:w="588" w:type="dxa"/>
          </w:tcPr>
          <w:p w14:paraId="017C30C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p>
        </w:tc>
        <w:tc>
          <w:tcPr>
            <w:tcW w:w="402" w:type="dxa"/>
          </w:tcPr>
          <w:p w14:paraId="7A8F889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23ABA96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47DC03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63ECF3C">
            <w:pPr>
              <w:rPr>
                <w:rFonts w:asciiTheme="minorEastAsia" w:hAnsiTheme="minorEastAsia" w:eastAsiaTheme="minorEastAsia"/>
                <w:color w:val="000000" w:themeColor="text1"/>
                <w:sz w:val="24"/>
                <w14:textFill>
                  <w14:solidFill>
                    <w14:schemeClr w14:val="tx1"/>
                  </w14:solidFill>
                </w14:textFill>
              </w:rPr>
            </w:pPr>
          </w:p>
        </w:tc>
      </w:tr>
      <w:tr w14:paraId="14B0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BA24A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782" w:type="dxa"/>
          </w:tcPr>
          <w:p w14:paraId="252FA67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8+2口POE交换机千兆</w:t>
            </w:r>
          </w:p>
        </w:tc>
        <w:tc>
          <w:tcPr>
            <w:tcW w:w="4869" w:type="dxa"/>
          </w:tcPr>
          <w:p w14:paraId="0C70373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1、端口规格：配备不少于8个千兆PoE电口、2个千兆上行电口，全千兆接入及上行，保障高清监控视频传输流畅。</w:t>
            </w:r>
          </w:p>
          <w:p w14:paraId="4A300A0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2、POE供电：符合IEEE802.3af/at通用POE供电标准，单端口最大输出功率≥30W，整机最大POE输出功率≥80W，可稳定适配各类网络监控摄像机供电。</w:t>
            </w:r>
          </w:p>
          <w:p w14:paraId="20E7660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3、安装方式：支持桌面放置、壁挂式安装，部署灵活，适配教室、楼层弱电箱零散点位使用。</w:t>
            </w:r>
          </w:p>
          <w:p w14:paraId="1042249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4、设备性能：支持智能供电识别，空载省电、过载保护，兼容性强，可适配市面主流安防终端设备。</w:t>
            </w:r>
          </w:p>
          <w:p w14:paraId="3DA113C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5、运行稳定性：工业级硬件设计，抗干扰能力强，支持7×24小时不间断运行。</w:t>
            </w:r>
          </w:p>
        </w:tc>
        <w:tc>
          <w:tcPr>
            <w:tcW w:w="588" w:type="dxa"/>
          </w:tcPr>
          <w:p w14:paraId="143A5E5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402" w:type="dxa"/>
          </w:tcPr>
          <w:p w14:paraId="38A1178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48D2ED1F">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CE6D7A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AC63699">
            <w:pPr>
              <w:rPr>
                <w:rFonts w:asciiTheme="minorEastAsia" w:hAnsiTheme="minorEastAsia" w:eastAsiaTheme="minorEastAsia"/>
                <w:color w:val="000000" w:themeColor="text1"/>
                <w:sz w:val="24"/>
                <w14:textFill>
                  <w14:solidFill>
                    <w14:schemeClr w14:val="tx1"/>
                  </w14:solidFill>
                </w14:textFill>
              </w:rPr>
            </w:pPr>
          </w:p>
        </w:tc>
      </w:tr>
      <w:tr w14:paraId="3B49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4E327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p>
        </w:tc>
        <w:tc>
          <w:tcPr>
            <w:tcW w:w="782" w:type="dxa"/>
          </w:tcPr>
          <w:p w14:paraId="3090D2F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8口汇聚交换机</w:t>
            </w:r>
          </w:p>
        </w:tc>
        <w:tc>
          <w:tcPr>
            <w:tcW w:w="4869" w:type="dxa"/>
          </w:tcPr>
          <w:p w14:paraId="38069314">
            <w:pPr>
              <w:rPr>
                <w:rFonts w:asciiTheme="minorEastAsia" w:hAnsiTheme="minorEastAsia" w:eastAsiaTheme="minorEastAsia"/>
                <w:color w:val="000000" w:themeColor="text1"/>
                <w:sz w:val="24"/>
                <w14:textFill>
                  <w14:solidFill>
                    <w14:schemeClr w14:val="tx1"/>
                  </w14:solidFill>
                </w14:textFill>
              </w:rPr>
            </w:pPr>
            <w:r>
              <w:rPr>
                <w:rFonts w:hint="eastAsia" w:ascii="MS Gothic" w:hAnsi="MS Gothic" w:eastAsia="MS Gothic" w:cs="MS Gothic"/>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1、端口配置：配备不少于8个10/100/1000Base-T千兆自适应电口，不少于2个100/1000Base-X千兆SFP光口，满足电口接入、光口远距离级联汇聚需求。</w:t>
            </w:r>
          </w:p>
          <w:p w14:paraId="584C58F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2、核心性能：交换容量≥256Gbps，包转发率≥30Mpps，采用存储转发交换机制，数据转发高效不卡顿。</w:t>
            </w:r>
          </w:p>
          <w:p w14:paraId="47AA93D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3、VLAN功能：支持IEEE 802.1Q标准VLAN划分，最大支持4K VLAN；兼容基于IP子网、MAC地址、协议的VLAN划分，支持GUEST VLAN功能，可实现网络分区隔离、业务分离。</w:t>
            </w:r>
          </w:p>
          <w:p w14:paraId="655C090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4、网管功能：支持Console、Telnet、SSH、SNMP v1-v3多种通用管理方式；支持ACL访问控制、QoS服务质量调度，适配多业务网络优先级管控。</w:t>
            </w:r>
          </w:p>
          <w:p w14:paraId="333192A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5、组播功能：支持IGMP Snooping v1/v2/v3组播监听功能，有效抑制广播风暴，保障监控视频、多媒体业务稳定传输。</w:t>
            </w:r>
          </w:p>
          <w:p w14:paraId="5D0034A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6、硬件规格：采用金属机身结构，设备散热性能优良，运行稳定；标准设备尺寸，适配机柜及桌面安装。</w:t>
            </w:r>
          </w:p>
          <w:p w14:paraId="0058D7A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7、电源与质保：支持AC100V-240V宽电压自适应供电，适配国内市电环境；整机质保期不少于3年，售后保障完善。</w:t>
            </w:r>
          </w:p>
        </w:tc>
        <w:tc>
          <w:tcPr>
            <w:tcW w:w="588" w:type="dxa"/>
          </w:tcPr>
          <w:p w14:paraId="66CC52C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716D27A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049FAFB0">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88A9D18">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39D12E6">
            <w:pPr>
              <w:rPr>
                <w:rFonts w:asciiTheme="minorEastAsia" w:hAnsiTheme="minorEastAsia" w:eastAsiaTheme="minorEastAsia"/>
                <w:color w:val="000000" w:themeColor="text1"/>
                <w:sz w:val="24"/>
                <w14:textFill>
                  <w14:solidFill>
                    <w14:schemeClr w14:val="tx1"/>
                  </w14:solidFill>
                </w14:textFill>
              </w:rPr>
            </w:pPr>
          </w:p>
        </w:tc>
      </w:tr>
      <w:tr w14:paraId="65C7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BDA6A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782" w:type="dxa"/>
          </w:tcPr>
          <w:p w14:paraId="6D9F420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硬盘录像机64路</w:t>
            </w:r>
          </w:p>
        </w:tc>
        <w:tc>
          <w:tcPr>
            <w:tcW w:w="4869" w:type="dxa"/>
          </w:tcPr>
          <w:p w14:paraId="642F758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1、设备接入能力</w:t>
            </w:r>
          </w:p>
          <w:p w14:paraId="429FBE0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设备支持不少于64路网络摄像机接入；可对接符合ONVIF、RTSP通用标准的主流厂商网络摄像机；支持H.264、H.265编码码流接入，兼容智能编码压缩技术，降低带宽与存储占用。</w:t>
            </w:r>
          </w:p>
          <w:p w14:paraId="02348D2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2、解码与视频处理性能</w:t>
            </w:r>
          </w:p>
          <w:p w14:paraId="0D0CFFF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设备解码性能：最大支持≥24路1080P视频同时解码输出；支持最高1200万像素高清网络视频预览、录像存储、回放调取。</w:t>
            </w:r>
          </w:p>
          <w:p w14:paraId="5ED9FB3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3、视频输出接口</w:t>
            </w:r>
          </w:p>
          <w:p w14:paraId="107AA07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配置HDMI、VGA视频输出接口，支持同源、异源画面输出模式；HDMI接口最大支持4K超高清显示输出；VGA接口最大支持1080P高清输出。</w:t>
            </w:r>
          </w:p>
          <w:p w14:paraId="2F4F5FF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4、硬盘存储配置</w:t>
            </w:r>
          </w:p>
          <w:p w14:paraId="1DADBD2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设备配置不少于16个SATA硬盘接口；单块硬盘最大支持≥16TB容量，支持硬盘满配安装；支持录像计划配置、循环录像、录像锁定保护。</w:t>
            </w:r>
          </w:p>
          <w:p w14:paraId="34CDF5B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5、IP设备集中管理</w:t>
            </w:r>
          </w:p>
          <w:p w14:paraId="0EC35F5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支持局域网内网络摄像设备统一管理，可实现设备批量添加、参数统一配置、固件批量升级、配置文件导入导出等运维功能。</w:t>
            </w:r>
          </w:p>
          <w:p w14:paraId="70D1EA5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6、录像回放与智能检索</w:t>
            </w:r>
          </w:p>
          <w:p w14:paraId="586DC10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支持≥16路录像本地同步回放；可根据人员、车辆、事件类型进行录像条件检索，实现事件录像快速定位回放，提升视频查阅效率。</w:t>
            </w:r>
          </w:p>
          <w:p w14:paraId="0A3210D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7、平台对接与远程访问</w:t>
            </w:r>
          </w:p>
          <w:p w14:paraId="05300E0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支持GB/T28181国家标准协议，可接入视频监控联网平台；支持通用网络远程访问，可通过移动端客户端实现远程预览、回放、基础配置管理。</w:t>
            </w:r>
          </w:p>
          <w:p w14:paraId="2708650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8、通用网络功能</w:t>
            </w:r>
          </w:p>
          <w:p w14:paraId="4E095AC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支持TCP/IP、DHCP、DNS、NTP、IPv4、IPv6等通用网络协议；具备网络异常、硬盘故障、录像异常告警提示功能。</w:t>
            </w:r>
          </w:p>
          <w:p w14:paraId="61910B1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9、硬件与运行环境</w:t>
            </w:r>
          </w:p>
          <w:p w14:paraId="31EFDE5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标准机架式结构，适配</w:t>
            </w:r>
            <w:r>
              <w:rPr>
                <w:rFonts w:asciiTheme="minorEastAsia" w:hAnsiTheme="minorEastAsia" w:eastAsiaTheme="minorEastAsia"/>
                <w:color w:val="000000" w:themeColor="text1"/>
                <w:sz w:val="24"/>
                <w14:textFill>
                  <w14:solidFill>
                    <w14:schemeClr w14:val="tx1"/>
                  </w14:solidFill>
                </w14:textFill>
              </w:rPr>
              <w:t>19</w:t>
            </w:r>
            <w:r>
              <w:rPr>
                <w:rFonts w:hint="eastAsia" w:asciiTheme="minorEastAsia" w:hAnsiTheme="minorEastAsia" w:eastAsiaTheme="minorEastAsia"/>
                <w:color w:val="000000" w:themeColor="text1"/>
                <w:sz w:val="24"/>
                <w14:textFill>
                  <w14:solidFill>
                    <w14:schemeClr w14:val="tx1"/>
                  </w14:solidFill>
                </w14:textFill>
              </w:rPr>
              <w:t>英寸机柜安装；工作温度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+55</w:t>
            </w:r>
            <w:r>
              <w:rPr>
                <w:rFonts w:hint="eastAsia" w:asciiTheme="minorEastAsia" w:hAnsiTheme="minorEastAsia" w:eastAsiaTheme="minorEastAsia"/>
                <w:color w:val="000000" w:themeColor="text1"/>
                <w:sz w:val="24"/>
                <w14:textFill>
                  <w14:solidFill>
                    <w14:schemeClr w14:val="tx1"/>
                  </w14:solidFill>
                </w14:textFill>
              </w:rPr>
              <w:t>℃，湿度</w:t>
            </w: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（无凝结），可</w:t>
            </w:r>
            <w:r>
              <w:rPr>
                <w:rFonts w:asciiTheme="minorEastAsia" w:hAnsiTheme="minorEastAsia" w:eastAsiaTheme="minorEastAsia"/>
                <w:color w:val="000000" w:themeColor="text1"/>
                <w:sz w:val="24"/>
                <w14:textFill>
                  <w14:solidFill>
                    <w14:schemeClr w14:val="tx1"/>
                  </w14:solidFill>
                </w14:textFill>
              </w:rPr>
              <w:t>7×24</w:t>
            </w:r>
            <w:r>
              <w:rPr>
                <w:rFonts w:hint="eastAsia" w:asciiTheme="minorEastAsia" w:hAnsiTheme="minorEastAsia" w:eastAsiaTheme="minorEastAsia"/>
                <w:color w:val="000000" w:themeColor="text1"/>
                <w:sz w:val="24"/>
                <w14:textFill>
                  <w14:solidFill>
                    <w14:schemeClr w14:val="tx1"/>
                  </w14:solidFill>
                </w14:textFill>
              </w:rPr>
              <w:t>小时不间断稳定运行。</w:t>
            </w:r>
          </w:p>
        </w:tc>
        <w:tc>
          <w:tcPr>
            <w:tcW w:w="588" w:type="dxa"/>
          </w:tcPr>
          <w:p w14:paraId="345E0F4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7DB821D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333CE059">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60085F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7B1FA55">
            <w:pPr>
              <w:rPr>
                <w:rFonts w:asciiTheme="minorEastAsia" w:hAnsiTheme="minorEastAsia" w:eastAsiaTheme="minorEastAsia"/>
                <w:color w:val="000000" w:themeColor="text1"/>
                <w:sz w:val="24"/>
                <w14:textFill>
                  <w14:solidFill>
                    <w14:schemeClr w14:val="tx1"/>
                  </w14:solidFill>
                </w14:textFill>
              </w:rPr>
            </w:pPr>
          </w:p>
        </w:tc>
      </w:tr>
      <w:tr w14:paraId="6567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4F8FD6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w:t>
            </w:r>
          </w:p>
        </w:tc>
        <w:tc>
          <w:tcPr>
            <w:tcW w:w="782" w:type="dxa"/>
          </w:tcPr>
          <w:p w14:paraId="36B6C9C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8T硬盘</w:t>
            </w:r>
          </w:p>
        </w:tc>
        <w:tc>
          <w:tcPr>
            <w:tcW w:w="4869" w:type="dxa"/>
          </w:tcPr>
          <w:p w14:paraId="5B77B47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1、规格接口：硬盘容量≥8TB，盘体尺寸3.5英寸，采用SATA3.0接口。</w:t>
            </w:r>
          </w:p>
          <w:p w14:paraId="68F3B4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2、转速与盘体类型：转速5400RPM，空气盘结构，采用CMR传统磁记录方式。</w:t>
            </w:r>
          </w:p>
          <w:p w14:paraId="04636F5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3、读写性能：持续传输速率≥215MB/s，满足监控视频连续写入存储，有效避免视频丢帧。</w:t>
            </w:r>
          </w:p>
          <w:p w14:paraId="7D8F1A25">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、扇区技术：采用高级格式</w:t>
            </w:r>
            <w:r>
              <w:rPr>
                <w:rFonts w:asciiTheme="minorEastAsia" w:hAnsiTheme="minorEastAsia" w:eastAsiaTheme="minorEastAsia"/>
                <w:color w:val="000000" w:themeColor="text1"/>
                <w:sz w:val="24"/>
                <w14:textFill>
                  <w14:solidFill>
                    <w14:schemeClr w14:val="tx1"/>
                  </w14:solidFill>
                </w14:textFill>
              </w:rPr>
              <w:t>AF</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512e</w:t>
            </w:r>
            <w:r>
              <w:rPr>
                <w:rFonts w:hint="eastAsia" w:asciiTheme="minorEastAsia" w:hAnsiTheme="minorEastAsia" w:eastAsiaTheme="minorEastAsia"/>
                <w:color w:val="000000" w:themeColor="text1"/>
                <w:sz w:val="24"/>
                <w14:textFill>
                  <w14:solidFill>
                    <w14:schemeClr w14:val="tx1"/>
                  </w14:solidFill>
                </w14:textFill>
              </w:rPr>
              <w:t>扇区技术，可实现</w:t>
            </w:r>
            <w:r>
              <w:rPr>
                <w:rFonts w:asciiTheme="minorEastAsia" w:hAnsiTheme="minorEastAsia" w:eastAsiaTheme="minorEastAsia"/>
                <w:color w:val="000000" w:themeColor="text1"/>
                <w:sz w:val="24"/>
                <w14:textFill>
                  <w14:solidFill>
                    <w14:schemeClr w14:val="tx1"/>
                  </w14:solidFill>
                </w14:textFill>
              </w:rPr>
              <w:t>4K</w:t>
            </w:r>
            <w:r>
              <w:rPr>
                <w:rFonts w:hint="eastAsia" w:asciiTheme="minorEastAsia" w:hAnsiTheme="minorEastAsia" w:eastAsiaTheme="minorEastAsia"/>
                <w:color w:val="000000" w:themeColor="text1"/>
                <w:sz w:val="24"/>
                <w14:textFill>
                  <w14:solidFill>
                    <w14:schemeClr w14:val="tx1"/>
                  </w14:solidFill>
                </w14:textFill>
              </w:rPr>
              <w:t>扇区对齐，提升存储稳定性。</w:t>
            </w:r>
          </w:p>
          <w:p w14:paraId="17CD610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5、运行可靠性：支持7×24小时不间断连续工作，具备监控级长时间读写稳定性与数据安全保障能力。</w:t>
            </w:r>
          </w:p>
          <w:p w14:paraId="1BD66D48">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、环境适应性：适用工作海拔</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305m</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3050m</w:t>
            </w:r>
            <w:r>
              <w:rPr>
                <w:rFonts w:hint="eastAsia" w:asciiTheme="minorEastAsia" w:hAnsiTheme="minorEastAsia" w:eastAsiaTheme="minorEastAsia"/>
                <w:color w:val="000000" w:themeColor="text1"/>
                <w:sz w:val="24"/>
                <w14:textFill>
                  <w14:solidFill>
                    <w14:schemeClr w14:val="tx1"/>
                  </w14:solidFill>
                </w14:textFill>
              </w:rPr>
              <w:t>，适应不同地域机房安装环境。</w:t>
            </w:r>
          </w:p>
          <w:p w14:paraId="2FDBDEB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7、质保要求：提供不少于3年有限质保服务。</w:t>
            </w:r>
          </w:p>
        </w:tc>
        <w:tc>
          <w:tcPr>
            <w:tcW w:w="588" w:type="dxa"/>
          </w:tcPr>
          <w:p w14:paraId="3D9DADC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402" w:type="dxa"/>
          </w:tcPr>
          <w:p w14:paraId="5DD8B57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55BCDEF0">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E3E5AC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2692075">
            <w:pPr>
              <w:rPr>
                <w:rFonts w:asciiTheme="minorEastAsia" w:hAnsiTheme="minorEastAsia" w:eastAsiaTheme="minorEastAsia"/>
                <w:color w:val="000000" w:themeColor="text1"/>
                <w:sz w:val="24"/>
                <w14:textFill>
                  <w14:solidFill>
                    <w14:schemeClr w14:val="tx1"/>
                  </w14:solidFill>
                </w14:textFill>
              </w:rPr>
            </w:pPr>
          </w:p>
        </w:tc>
      </w:tr>
      <w:tr w14:paraId="1629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BF5B0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w:t>
            </w:r>
          </w:p>
        </w:tc>
        <w:tc>
          <w:tcPr>
            <w:tcW w:w="782" w:type="dxa"/>
          </w:tcPr>
          <w:p w14:paraId="10414EF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机柜</w:t>
            </w:r>
          </w:p>
        </w:tc>
        <w:tc>
          <w:tcPr>
            <w:tcW w:w="4869" w:type="dxa"/>
          </w:tcPr>
          <w:p w14:paraId="534AC2F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1、规格尺寸：19英寸标准机架，容量≥22U；外形尺寸（宽×深×高）：600mm×600mm×1166mm（含脚轮） 。</w:t>
            </w:r>
          </w:p>
          <w:p w14:paraId="12475A2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2、执行标准：符合GB/T3047.2、ANSI/EIA RS-310-D、IEC297-2标准，兼容ETSI标准 。</w:t>
            </w:r>
          </w:p>
          <w:p w14:paraId="17253EB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3、材质与板厚：主体采用SPCC优质冷轧钢板；安装方孔条厚度≥2.0mm，安装横梁≥1.5mm，箱体侧板、门板≥1.2mm；方孔条热镀锌防腐，柜体整体脱脂、磷化、静电喷塑，防腐蚀防锈 。</w:t>
            </w:r>
          </w:p>
          <w:p w14:paraId="6E1F8A6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4、门体结构：前门为单开钢化玻璃门，带安全门锁；后门为单开钢板门；两侧侧板可快速拆卸，方便设备安装维护 。</w:t>
            </w:r>
          </w:p>
          <w:p w14:paraId="160A2DD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5、承重能力：静态承重≥800KG，满足硬盘录像机、交换机等设备长期满载安装需求；防护等级IP20。</w:t>
            </w:r>
          </w:p>
          <w:p w14:paraId="247125B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6、标配配件：配置可调节金属托盘1块、2寸重型脚轮4只、可调支撑地脚4只、M6安装螺丝组件、安装扳手；顶部预留线缆进出孔，带防尘盖板。</w:t>
            </w:r>
          </w:p>
          <w:p w14:paraId="2371662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7、安装方式：支持落地安装，可加装并柜连接件实现多台机柜并排组合。</w:t>
            </w:r>
          </w:p>
        </w:tc>
        <w:tc>
          <w:tcPr>
            <w:tcW w:w="588" w:type="dxa"/>
          </w:tcPr>
          <w:p w14:paraId="701837E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6B45194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288AE23C">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5E0EED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052621D">
            <w:pPr>
              <w:rPr>
                <w:rFonts w:asciiTheme="minorEastAsia" w:hAnsiTheme="minorEastAsia" w:eastAsiaTheme="minorEastAsia"/>
                <w:color w:val="000000" w:themeColor="text1"/>
                <w:sz w:val="24"/>
                <w14:textFill>
                  <w14:solidFill>
                    <w14:schemeClr w14:val="tx1"/>
                  </w14:solidFill>
                </w14:textFill>
              </w:rPr>
            </w:pPr>
          </w:p>
        </w:tc>
      </w:tr>
      <w:tr w14:paraId="5068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512BB1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0</w:t>
            </w:r>
          </w:p>
        </w:tc>
        <w:tc>
          <w:tcPr>
            <w:tcW w:w="782" w:type="dxa"/>
          </w:tcPr>
          <w:p w14:paraId="61AAC53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汇聚箱</w:t>
            </w:r>
          </w:p>
        </w:tc>
        <w:tc>
          <w:tcPr>
            <w:tcW w:w="4869" w:type="dxa"/>
          </w:tcPr>
          <w:p w14:paraId="04186403">
            <w:pPr>
              <w:rPr>
                <w:rFonts w:asciiTheme="minorEastAsia" w:hAnsiTheme="minorEastAsia" w:eastAsiaTheme="minorEastAsia"/>
                <w:color w:val="000000" w:themeColor="text1"/>
                <w:sz w:val="24"/>
                <w14:textFill>
                  <w14:solidFill>
                    <w14:schemeClr w14:val="tx1"/>
                  </w14:solidFill>
                </w14:textFill>
              </w:rPr>
            </w:pPr>
          </w:p>
          <w:p w14:paraId="08B1D9B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1、规格尺寸：箱体容量≥4U，外形尺寸（宽×深×高）600mm×450mm×280mm。</w:t>
            </w:r>
          </w:p>
          <w:p w14:paraId="2840B57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2、材质工艺：箱体采用优质冷轧钢板制作，板材厚度≥1.2mm；表面经脱脂、磷化处理后静电喷塑，防锈防腐、耐老化。</w:t>
            </w:r>
          </w:p>
          <w:p w14:paraId="1DCB0F1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3、结构设计：箱体为壁挂式结构，箱门配置防盗门锁；箱体内预留设备安装立柱，可安装交换机、电源等弱电设备；箱体背部预留壁挂安装孔位。</w:t>
            </w:r>
          </w:p>
          <w:p w14:paraId="62B60F4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4、布线设计：箱体上下预留线缆进出孔，配有橡胶护圈，防止线缆割伤；箱内设置理线结构，便于网线整理排布。</w:t>
            </w:r>
          </w:p>
          <w:p w14:paraId="64D51C6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5、散热通风：箱体侧面开设通风散热孔，保证箱内设备通风散热，避免设备高温故障。</w:t>
            </w:r>
          </w:p>
          <w:p w14:paraId="35493DA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6、防护等级：室内使用，防护等级不低于IP20，具备防尘功能。</w:t>
            </w:r>
          </w:p>
          <w:p w14:paraId="443ACE0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7、配件配置：配套安装膨胀螺栓、固定螺丝等安装辅材。</w:t>
            </w:r>
          </w:p>
          <w:p w14:paraId="5F89D6B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8、适用场景：用于楼层弱电间、教室走廊，放置汇聚交换机及配套弱电设备。</w:t>
            </w:r>
          </w:p>
        </w:tc>
        <w:tc>
          <w:tcPr>
            <w:tcW w:w="588" w:type="dxa"/>
          </w:tcPr>
          <w:p w14:paraId="618C173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w:t>
            </w:r>
          </w:p>
        </w:tc>
        <w:tc>
          <w:tcPr>
            <w:tcW w:w="402" w:type="dxa"/>
          </w:tcPr>
          <w:p w14:paraId="723E550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77BF204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E8EB74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F19594E">
            <w:pPr>
              <w:rPr>
                <w:rFonts w:asciiTheme="minorEastAsia" w:hAnsiTheme="minorEastAsia" w:eastAsiaTheme="minorEastAsia"/>
                <w:color w:val="000000" w:themeColor="text1"/>
                <w:sz w:val="24"/>
                <w14:textFill>
                  <w14:solidFill>
                    <w14:schemeClr w14:val="tx1"/>
                  </w14:solidFill>
                </w14:textFill>
              </w:rPr>
            </w:pPr>
          </w:p>
        </w:tc>
      </w:tr>
      <w:tr w14:paraId="39AC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67E7E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1</w:t>
            </w:r>
          </w:p>
        </w:tc>
        <w:tc>
          <w:tcPr>
            <w:tcW w:w="782" w:type="dxa"/>
          </w:tcPr>
          <w:p w14:paraId="4E616B4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超六网线</w:t>
            </w:r>
          </w:p>
        </w:tc>
        <w:tc>
          <w:tcPr>
            <w:tcW w:w="4869" w:type="dxa"/>
          </w:tcPr>
          <w:p w14:paraId="1B79556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1、传输性能：满足超六类布线标准，支持千兆及以上以太网信号稳定传输。</w:t>
            </w:r>
          </w:p>
          <w:p w14:paraId="4448631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2、导体材质：线芯采用高纯无氧铜材质，直流电阻低，信号传输衰减小，传输性能优异。</w:t>
            </w:r>
          </w:p>
          <w:p w14:paraId="64E0DC1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3、内部结构：线缆内部采用均匀双绞工艺，内置十字隔离骨架，降低线对间串扰与外界电磁干扰，保障信号传输稳定可靠。</w:t>
            </w:r>
          </w:p>
          <w:p w14:paraId="41E8EA4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4、外护套：护套采用聚氯乙烯（PVC）材料，具备良好耐磨性、抗拉性能，机械强度高。</w:t>
            </w:r>
          </w:p>
          <w:p w14:paraId="5F959462">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、环保与阻燃：产品需通过</w:t>
            </w:r>
            <w:r>
              <w:rPr>
                <w:rFonts w:asciiTheme="minorEastAsia" w:hAnsiTheme="minorEastAsia" w:eastAsiaTheme="minorEastAsia"/>
                <w:color w:val="000000" w:themeColor="text1"/>
                <w:sz w:val="24"/>
                <w14:textFill>
                  <w14:solidFill>
                    <w14:schemeClr w14:val="tx1"/>
                  </w14:solidFill>
                </w14:textFill>
              </w:rPr>
              <w:t>RoHS2.0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Reach</w:t>
            </w:r>
            <w:r>
              <w:rPr>
                <w:rFonts w:hint="eastAsia" w:asciiTheme="minorEastAsia" w:hAnsiTheme="minorEastAsia" w:eastAsiaTheme="minorEastAsia"/>
                <w:color w:val="000000" w:themeColor="text1"/>
                <w:sz w:val="24"/>
                <w14:textFill>
                  <w14:solidFill>
                    <w14:schemeClr w14:val="tx1"/>
                  </w14:solidFill>
                </w14:textFill>
              </w:rPr>
              <w:t>环保认证；线缆护套达到</w:t>
            </w:r>
            <w:r>
              <w:rPr>
                <w:rFonts w:asciiTheme="minorEastAsia" w:hAnsiTheme="minorEastAsia" w:eastAsiaTheme="minorEastAsia"/>
                <w:color w:val="000000" w:themeColor="text1"/>
                <w:sz w:val="24"/>
                <w14:textFill>
                  <w14:solidFill>
                    <w14:schemeClr w14:val="tx1"/>
                  </w14:solidFill>
                </w14:textFill>
              </w:rPr>
              <w:t>UL</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CMX</w:t>
            </w:r>
            <w:r>
              <w:rPr>
                <w:rFonts w:hint="eastAsia" w:asciiTheme="minorEastAsia" w:hAnsiTheme="minorEastAsia" w:eastAsiaTheme="minorEastAsia"/>
                <w:color w:val="000000" w:themeColor="text1"/>
                <w:sz w:val="24"/>
                <w14:textFill>
                  <w14:solidFill>
                    <w14:schemeClr w14:val="tx1"/>
                  </w14:solidFill>
                </w14:textFill>
              </w:rPr>
              <w:t>阻燃等级，满足室内弱电布线安全要求。</w:t>
            </w:r>
          </w:p>
          <w:p w14:paraId="1D6B80C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6、使用场景：适用于室内监控系统网络布线，可长期稳定运行。</w:t>
            </w:r>
          </w:p>
        </w:tc>
        <w:tc>
          <w:tcPr>
            <w:tcW w:w="588" w:type="dxa"/>
          </w:tcPr>
          <w:p w14:paraId="524F028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240</w:t>
            </w:r>
          </w:p>
        </w:tc>
        <w:tc>
          <w:tcPr>
            <w:tcW w:w="402" w:type="dxa"/>
          </w:tcPr>
          <w:p w14:paraId="55062BD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4F48B2E3">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46BBF80">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2048CE80">
            <w:pPr>
              <w:rPr>
                <w:rFonts w:asciiTheme="minorEastAsia" w:hAnsiTheme="minorEastAsia" w:eastAsiaTheme="minorEastAsia"/>
                <w:color w:val="000000" w:themeColor="text1"/>
                <w:sz w:val="24"/>
                <w14:textFill>
                  <w14:solidFill>
                    <w14:schemeClr w14:val="tx1"/>
                  </w14:solidFill>
                </w14:textFill>
              </w:rPr>
            </w:pPr>
          </w:p>
        </w:tc>
      </w:tr>
      <w:tr w14:paraId="5BB6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ADF38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2</w:t>
            </w:r>
          </w:p>
        </w:tc>
        <w:tc>
          <w:tcPr>
            <w:tcW w:w="782" w:type="dxa"/>
          </w:tcPr>
          <w:p w14:paraId="14E8A49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电源线</w:t>
            </w:r>
            <w:r>
              <w:rPr>
                <w:rFonts w:asciiTheme="minorEastAsia" w:hAnsiTheme="minorEastAsia" w:eastAsiaTheme="minorEastAsia"/>
                <w:color w:val="000000" w:themeColor="text1"/>
                <w:sz w:val="24"/>
                <w14:textFill>
                  <w14:solidFill>
                    <w14:schemeClr w14:val="tx1"/>
                  </w14:solidFill>
                </w14:textFill>
              </w:rPr>
              <w:t>BVVB 2×1.5mm²</w:t>
            </w:r>
            <w:r>
              <w:rPr>
                <w:rFonts w:hint="eastAsia" w:asciiTheme="minorEastAsia" w:hAnsiTheme="minorEastAsia" w:eastAsiaTheme="minorEastAsia"/>
                <w:color w:val="000000" w:themeColor="text1"/>
                <w:sz w:val="24"/>
                <w14:textFill>
                  <w14:solidFill>
                    <w14:schemeClr w14:val="tx1"/>
                  </w14:solidFill>
                </w14:textFill>
              </w:rPr>
              <w:t>（双芯扁线）</w:t>
            </w:r>
          </w:p>
        </w:tc>
        <w:tc>
          <w:tcPr>
            <w:tcW w:w="4869" w:type="dxa"/>
          </w:tcPr>
          <w:p w14:paraId="3C45C085">
            <w:pPr>
              <w:rPr>
                <w:rFonts w:asciiTheme="minorEastAsia" w:hAnsiTheme="minorEastAsia" w:eastAsiaTheme="minorEastAsia"/>
                <w:color w:val="000000" w:themeColor="text1"/>
                <w:sz w:val="24"/>
                <w14:textFill>
                  <w14:solidFill>
                    <w14:schemeClr w14:val="tx1"/>
                  </w14:solidFill>
                </w14:textFill>
              </w:rPr>
            </w:pPr>
            <w:r>
              <w:rPr>
                <w:rFonts w:hint="eastAsia" w:ascii="MS Gothic" w:hAnsi="MS Gothic" w:eastAsia="MS Gothic" w:cs="MS Gothic"/>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1、规格型号：BVVB型双芯扁护套电线，导体截面积≥1.5mm²。</w:t>
            </w:r>
          </w:p>
          <w:p w14:paraId="2C956D4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2、导体材质：线芯采用高纯无氧铜材质，铜纯度不低于99.99%，导电性能优良。</w:t>
            </w:r>
          </w:p>
          <w:p w14:paraId="3309411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3、绝缘及护套：绝缘层、护套层采用环保聚氯乙烯（PVC）材料；绝缘层标称厚度≥0.7mm，外护套标称厚度≥0.9mm，耐磨损、抗老化。</w:t>
            </w:r>
          </w:p>
          <w:p w14:paraId="2B5E74A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4、电气参数：额定电压300/500V；明敷安全载流量≥16A，满足监控设备长期供电使用。</w:t>
            </w:r>
          </w:p>
          <w:p w14:paraId="2DE772F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5、外形重量：成品为扁平双芯结构，外形尺寸控制在公差允许范围内；每百米参考重量不低于6.2kg。</w:t>
            </w:r>
          </w:p>
          <w:p w14:paraId="08169240">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6</w:t>
            </w:r>
            <w:r>
              <w:rPr>
                <w:rFonts w:hint="eastAsia" w:asciiTheme="minorEastAsia" w:hAnsiTheme="minorEastAsia" w:eastAsiaTheme="minorEastAsia"/>
                <w:color w:val="000000" w:themeColor="text1"/>
                <w:sz w:val="24"/>
                <w14:textFill>
                  <w14:solidFill>
                    <w14:schemeClr w14:val="tx1"/>
                  </w14:solidFill>
                </w14:textFill>
              </w:rPr>
              <w:t>、执行标准：产品生产符合</w:t>
            </w:r>
            <w:r>
              <w:rPr>
                <w:rFonts w:asciiTheme="minorEastAsia" w:hAnsiTheme="minorEastAsia" w:eastAsiaTheme="minorEastAsia"/>
                <w:color w:val="000000" w:themeColor="text1"/>
                <w:sz w:val="24"/>
                <w14:textFill>
                  <w14:solidFill>
                    <w14:schemeClr w14:val="tx1"/>
                  </w14:solidFill>
                </w14:textFill>
              </w:rPr>
              <w:t>JB/T 8734.2</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2012</w:t>
            </w:r>
            <w:r>
              <w:rPr>
                <w:rFonts w:hint="eastAsia" w:asciiTheme="minorEastAsia" w:hAnsiTheme="minorEastAsia" w:eastAsiaTheme="minorEastAsia"/>
                <w:color w:val="000000" w:themeColor="text1"/>
                <w:sz w:val="24"/>
                <w14:textFill>
                  <w14:solidFill>
                    <w14:schemeClr w14:val="tx1"/>
                  </w14:solidFill>
                </w14:textFill>
              </w:rPr>
              <w:t>标准要求。</w:t>
            </w:r>
          </w:p>
          <w:p w14:paraId="6626573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7、使用要求：适用于室内监控点位供电布线，布线施工规范，可长期稳定运行。</w:t>
            </w:r>
          </w:p>
        </w:tc>
        <w:tc>
          <w:tcPr>
            <w:tcW w:w="588" w:type="dxa"/>
          </w:tcPr>
          <w:p w14:paraId="5BC7A9C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1D5A7A0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4E50DF0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A27281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F28051D">
            <w:pPr>
              <w:rPr>
                <w:rFonts w:asciiTheme="minorEastAsia" w:hAnsiTheme="minorEastAsia" w:eastAsiaTheme="minorEastAsia"/>
                <w:color w:val="000000" w:themeColor="text1"/>
                <w:sz w:val="24"/>
                <w14:textFill>
                  <w14:solidFill>
                    <w14:schemeClr w14:val="tx1"/>
                  </w14:solidFill>
                </w14:textFill>
              </w:rPr>
            </w:pPr>
          </w:p>
        </w:tc>
      </w:tr>
      <w:tr w14:paraId="5A99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7B5E8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p>
        </w:tc>
        <w:tc>
          <w:tcPr>
            <w:tcW w:w="782" w:type="dxa"/>
          </w:tcPr>
          <w:p w14:paraId="525CFD5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电源线</w:t>
            </w:r>
            <w:r>
              <w:rPr>
                <w:rFonts w:asciiTheme="minorEastAsia" w:hAnsiTheme="minorEastAsia" w:eastAsiaTheme="minorEastAsia"/>
                <w:color w:val="000000" w:themeColor="text1"/>
                <w:sz w:val="24"/>
                <w14:textFill>
                  <w14:solidFill>
                    <w14:schemeClr w14:val="tx1"/>
                  </w14:solidFill>
                </w14:textFill>
              </w:rPr>
              <w:t>2*1.0 mm²</w:t>
            </w:r>
          </w:p>
        </w:tc>
        <w:tc>
          <w:tcPr>
            <w:tcW w:w="4869" w:type="dxa"/>
          </w:tcPr>
          <w:p w14:paraId="415BEB0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1、规格：可选用RVV软护套线或BVVB扁形护套线，2芯，单芯导体标称截面积≥1.0mm²；RVV导体为多股绞合软铜，BVVB导体为单根硬铜。</w:t>
            </w:r>
          </w:p>
          <w:p w14:paraId="30EAE66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2、导体材质：线芯采用高纯无氧铜，铜纯度不低于99.99%，导电性能稳定。</w:t>
            </w:r>
          </w:p>
          <w:p w14:paraId="1B135FE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3、电气指标：额定电压300/500V。</w:t>
            </w:r>
          </w:p>
          <w:p w14:paraId="0E8DD8D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4、绝缘护套：绝缘层、外护套采用环保聚氯乙烯（PVC）材质，耐老化。</w:t>
            </w:r>
          </w:p>
          <w:p w14:paraId="348F71E2">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、执行标准：产品应符合</w:t>
            </w:r>
            <w:r>
              <w:rPr>
                <w:rFonts w:asciiTheme="minorEastAsia" w:hAnsiTheme="minorEastAsia" w:eastAsiaTheme="minorEastAsia"/>
                <w:color w:val="000000" w:themeColor="text1"/>
                <w:sz w:val="24"/>
                <w14:textFill>
                  <w14:solidFill>
                    <w14:schemeClr w14:val="tx1"/>
                  </w14:solidFill>
                </w14:textFill>
              </w:rPr>
              <w:t>GB/T 5023</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JB/T 8734.2</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2012</w:t>
            </w:r>
            <w:r>
              <w:rPr>
                <w:rFonts w:hint="eastAsia" w:asciiTheme="minorEastAsia" w:hAnsiTheme="minorEastAsia" w:eastAsiaTheme="minorEastAsia"/>
                <w:color w:val="000000" w:themeColor="text1"/>
                <w:sz w:val="24"/>
                <w14:textFill>
                  <w14:solidFill>
                    <w14:schemeClr w14:val="tx1"/>
                  </w14:solidFill>
                </w14:textFill>
              </w:rPr>
              <w:t>相关标准要求。</w:t>
            </w:r>
          </w:p>
          <w:p w14:paraId="4BD68EF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6、外形重量：BVVB扁线外形尺寸控制在标准公差范围内；RVV圆线外径符合规格区间；每百米重量≥4.5kg。</w:t>
            </w:r>
          </w:p>
          <w:p w14:paraId="5921BA22">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、工作温度：长期工作环境温度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+70</w:t>
            </w:r>
            <w:r>
              <w:rPr>
                <w:rFonts w:hint="eastAsia" w:asciiTheme="minorEastAsia" w:hAnsiTheme="minorEastAsia" w:eastAsiaTheme="minorEastAsia"/>
                <w:color w:val="000000" w:themeColor="text1"/>
                <w:sz w:val="24"/>
                <w14:textFill>
                  <w14:solidFill>
                    <w14:schemeClr w14:val="tx1"/>
                  </w14:solidFill>
                </w14:textFill>
              </w:rPr>
              <w:t>℃。</w:t>
            </w:r>
          </w:p>
          <w:p w14:paraId="31727E7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8、使用场景：用于室内监控设备供电布线，满足弱电工程长期稳定供电要求。</w:t>
            </w:r>
          </w:p>
        </w:tc>
        <w:tc>
          <w:tcPr>
            <w:tcW w:w="588" w:type="dxa"/>
          </w:tcPr>
          <w:p w14:paraId="38FFA16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r>
              <w:rPr>
                <w:rFonts w:asciiTheme="minorEastAsia" w:hAnsiTheme="minorEastAsia" w:eastAsiaTheme="minorEastAsia"/>
                <w:color w:val="000000" w:themeColor="text1"/>
                <w:sz w:val="24"/>
                <w14:textFill>
                  <w14:solidFill>
                    <w14:schemeClr w14:val="tx1"/>
                  </w14:solidFill>
                </w14:textFill>
              </w:rPr>
              <w:t>50</w:t>
            </w:r>
          </w:p>
        </w:tc>
        <w:tc>
          <w:tcPr>
            <w:tcW w:w="402" w:type="dxa"/>
          </w:tcPr>
          <w:p w14:paraId="13F63DE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38445FE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679E36F">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BC9BB24">
            <w:pPr>
              <w:rPr>
                <w:rFonts w:asciiTheme="minorEastAsia" w:hAnsiTheme="minorEastAsia" w:eastAsiaTheme="minorEastAsia"/>
                <w:color w:val="000000" w:themeColor="text1"/>
                <w:sz w:val="24"/>
                <w14:textFill>
                  <w14:solidFill>
                    <w14:schemeClr w14:val="tx1"/>
                  </w14:solidFill>
                </w14:textFill>
              </w:rPr>
            </w:pPr>
          </w:p>
        </w:tc>
      </w:tr>
      <w:tr w14:paraId="4E4E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6F1A7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4</w:t>
            </w:r>
          </w:p>
        </w:tc>
        <w:tc>
          <w:tcPr>
            <w:tcW w:w="782" w:type="dxa"/>
          </w:tcPr>
          <w:p w14:paraId="2875D45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55寸监控显示屏</w:t>
            </w:r>
          </w:p>
        </w:tc>
        <w:tc>
          <w:tcPr>
            <w:tcW w:w="4869" w:type="dxa"/>
          </w:tcPr>
          <w:p w14:paraId="2CEB6DA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1、屏幕规格</w:t>
            </w:r>
          </w:p>
          <w:p w14:paraId="68D0EE3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屏幕尺寸55英寸，屏幕比例16:9；物理分辨率≥3840×2160（4K）。</w:t>
            </w:r>
          </w:p>
          <w:p w14:paraId="7E82EDE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2、背光与画质参数</w:t>
            </w:r>
          </w:p>
          <w:p w14:paraId="70AAD0C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采用分区式背光技术，背光分区数量≥</w:t>
            </w:r>
            <w:r>
              <w:rPr>
                <w:rFonts w:asciiTheme="minorEastAsia" w:hAnsiTheme="minorEastAsia" w:eastAsiaTheme="minorEastAsia"/>
                <w:color w:val="000000" w:themeColor="text1"/>
                <w:sz w:val="24"/>
                <w14:textFill>
                  <w14:solidFill>
                    <w14:schemeClr w14:val="tx1"/>
                  </w14:solidFill>
                </w14:textFill>
              </w:rPr>
              <w:t>192</w:t>
            </w:r>
            <w:r>
              <w:rPr>
                <w:rFonts w:hint="eastAsia" w:asciiTheme="minorEastAsia" w:hAnsiTheme="minorEastAsia" w:eastAsiaTheme="minorEastAsia"/>
                <w:color w:val="000000" w:themeColor="text1"/>
                <w:sz w:val="24"/>
                <w14:textFill>
                  <w14:solidFill>
                    <w14:schemeClr w14:val="tx1"/>
                  </w14:solidFill>
                </w14:textFill>
              </w:rPr>
              <w:t>个；屏幕峰值亮度≥</w:t>
            </w:r>
            <w:r>
              <w:rPr>
                <w:rFonts w:asciiTheme="minorEastAsia" w:hAnsiTheme="minorEastAsia" w:eastAsiaTheme="minorEastAsia"/>
                <w:color w:val="000000" w:themeColor="text1"/>
                <w:sz w:val="24"/>
                <w14:textFill>
                  <w14:solidFill>
                    <w14:schemeClr w14:val="tx1"/>
                  </w14:solidFill>
                </w14:textFill>
              </w:rPr>
              <w:t>1300nits</w:t>
            </w:r>
            <w:r>
              <w:rPr>
                <w:rFonts w:hint="eastAsia" w:asciiTheme="minorEastAsia" w:hAnsiTheme="minorEastAsia" w:eastAsiaTheme="minorEastAsia"/>
                <w:color w:val="000000" w:themeColor="text1"/>
                <w:sz w:val="24"/>
                <w14:textFill>
                  <w14:solidFill>
                    <w14:schemeClr w14:val="tx1"/>
                  </w14:solidFill>
                </w14:textFill>
              </w:rPr>
              <w:t>；色域</w:t>
            </w:r>
            <w:r>
              <w:rPr>
                <w:rFonts w:asciiTheme="minorEastAsia" w:hAnsiTheme="minorEastAsia" w:eastAsiaTheme="minorEastAsia"/>
                <w:color w:val="000000" w:themeColor="text1"/>
                <w:sz w:val="24"/>
                <w14:textFill>
                  <w14:solidFill>
                    <w14:schemeClr w14:val="tx1"/>
                  </w14:solidFill>
                </w14:textFill>
              </w:rPr>
              <w:t>DCI</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P3</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95%</w:t>
            </w:r>
            <w:r>
              <w:rPr>
                <w:rFonts w:hint="eastAsia" w:asciiTheme="minorEastAsia" w:hAnsiTheme="minorEastAsia" w:eastAsiaTheme="minorEastAsia"/>
                <w:color w:val="000000" w:themeColor="text1"/>
                <w:sz w:val="24"/>
                <w14:textFill>
                  <w14:solidFill>
                    <w14:schemeClr w14:val="tx1"/>
                  </w14:solidFill>
                </w14:textFill>
              </w:rPr>
              <w:t>；支持</w:t>
            </w:r>
            <w:r>
              <w:rPr>
                <w:rFonts w:asciiTheme="minorEastAsia" w:hAnsiTheme="minorEastAsia" w:eastAsiaTheme="minorEastAsia"/>
                <w:color w:val="000000" w:themeColor="text1"/>
                <w:sz w:val="24"/>
                <w14:textFill>
                  <w14:solidFill>
                    <w14:schemeClr w14:val="tx1"/>
                  </w14:solidFill>
                </w14:textFill>
              </w:rPr>
              <w:t>HDR10</w:t>
            </w:r>
            <w:r>
              <w:rPr>
                <w:rFonts w:hint="eastAsia" w:asciiTheme="minorEastAsia" w:hAnsiTheme="minorEastAsia" w:eastAsiaTheme="minorEastAsia"/>
                <w:color w:val="000000" w:themeColor="text1"/>
                <w:sz w:val="24"/>
                <w14:textFill>
                  <w14:solidFill>
                    <w14:schemeClr w14:val="tx1"/>
                  </w14:solidFill>
                </w14:textFill>
              </w:rPr>
              <w:t>高动态范围显示；支持运动补偿功能，动态刷新率≥</w:t>
            </w:r>
            <w:r>
              <w:rPr>
                <w:rFonts w:asciiTheme="minorEastAsia" w:hAnsiTheme="minorEastAsia" w:eastAsiaTheme="minorEastAsia"/>
                <w:color w:val="000000" w:themeColor="text1"/>
                <w:sz w:val="24"/>
                <w14:textFill>
                  <w14:solidFill>
                    <w14:schemeClr w14:val="tx1"/>
                  </w14:solidFill>
                </w14:textFill>
              </w:rPr>
              <w:t>264Hz</w:t>
            </w:r>
            <w:r>
              <w:rPr>
                <w:rFonts w:hint="eastAsia" w:asciiTheme="minorEastAsia" w:hAnsiTheme="minorEastAsia" w:eastAsiaTheme="minorEastAsia"/>
                <w:color w:val="000000" w:themeColor="text1"/>
                <w:sz w:val="24"/>
                <w14:textFill>
                  <w14:solidFill>
                    <w14:schemeClr w14:val="tx1"/>
                  </w14:solidFill>
                </w14:textFill>
              </w:rPr>
              <w:t>；屏幕具备防眩光处理，降低环境反光，广视角显示。</w:t>
            </w:r>
          </w:p>
          <w:p w14:paraId="23DBA54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3、硬件配置</w:t>
            </w:r>
          </w:p>
          <w:p w14:paraId="15CDC83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CPU采用四核A73及以上处理器；运行内存≥4GB，机身存储≥64GB；搭载安卓操作系统，运行稳定流畅。</w:t>
            </w:r>
          </w:p>
          <w:p w14:paraId="7F6B9A7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4、接口配置</w:t>
            </w:r>
          </w:p>
          <w:p w14:paraId="396C89D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配置不少于3路HDMI2.1视频输入接口；配置不少于2路USB接口（至少包含1路USB3.0）；内置WiFi6、蓝牙无线模块。</w:t>
            </w:r>
          </w:p>
          <w:p w14:paraId="62EA59B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5、音频配置</w:t>
            </w:r>
          </w:p>
          <w:p w14:paraId="4AA6F8D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内置2.1声道音响系统，整机音响总功率≥24W；支持杜比、DTS音频解码。</w:t>
            </w:r>
          </w:p>
          <w:p w14:paraId="5441F9A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6、外观尺寸</w:t>
            </w:r>
          </w:p>
          <w:p w14:paraId="671DEEF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不含底座外形尺寸约1232mm×716mm×77mm，整机净重≥13.1kg；支持壁挂、底座两种安装方式。</w:t>
            </w:r>
          </w:p>
          <w:p w14:paraId="5589B8F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7、能效与功耗</w:t>
            </w:r>
          </w:p>
          <w:p w14:paraId="1A99777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达到一级能效标准；典型功耗≤190W；待机功耗＜0.5W。</w:t>
            </w:r>
          </w:p>
          <w:p w14:paraId="2F359C3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8、使用要求</w:t>
            </w:r>
          </w:p>
          <w:p w14:paraId="658D5FE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设备可长期稳定用于监控画面实时显示；支持7×24小时值守场景连续运行，画面无自动休眠、黑屏保护（可手动关闭休眠功能）。</w:t>
            </w:r>
          </w:p>
        </w:tc>
        <w:tc>
          <w:tcPr>
            <w:tcW w:w="588" w:type="dxa"/>
          </w:tcPr>
          <w:p w14:paraId="5502BC7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7DBC06C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14A20DC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51EAC6BB">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E51ED8C">
            <w:pPr>
              <w:rPr>
                <w:rFonts w:asciiTheme="minorEastAsia" w:hAnsiTheme="minorEastAsia" w:eastAsiaTheme="minorEastAsia"/>
                <w:color w:val="000000" w:themeColor="text1"/>
                <w:sz w:val="24"/>
                <w14:textFill>
                  <w14:solidFill>
                    <w14:schemeClr w14:val="tx1"/>
                  </w14:solidFill>
                </w14:textFill>
              </w:rPr>
            </w:pPr>
          </w:p>
        </w:tc>
      </w:tr>
      <w:tr w14:paraId="444F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4BBF74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5</w:t>
            </w:r>
          </w:p>
        </w:tc>
        <w:tc>
          <w:tcPr>
            <w:tcW w:w="782" w:type="dxa"/>
          </w:tcPr>
          <w:p w14:paraId="1497955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光纤12芯</w:t>
            </w:r>
          </w:p>
        </w:tc>
        <w:tc>
          <w:tcPr>
            <w:tcW w:w="4869" w:type="dxa"/>
          </w:tcPr>
          <w:p w14:paraId="61A187C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1、芯数规格：光缆芯数固定为12芯。</w:t>
            </w:r>
          </w:p>
          <w:p w14:paraId="4CCD8BB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2、光纤类型：光纤可选用单模G.652D、G.657A，或多模OM3、OM4（50/125μm、62.5/125μm），根据现场组网需求选配。</w:t>
            </w:r>
          </w:p>
          <w:p w14:paraId="0C6F30E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3、光学衰减指标：</w:t>
            </w:r>
          </w:p>
          <w:p w14:paraId="556E1EA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单模光纤：1310nm衰减≤0.36dB/km，1550nm衰减≤0.22dB/km；</w:t>
            </w:r>
          </w:p>
          <w:p w14:paraId="42B6FB3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多模光纤：850nm衰减≤3.5dB/km，1300nm衰减≤1.0dB/km。</w:t>
            </w:r>
          </w:p>
          <w:p w14:paraId="76BACA76">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、物理外径：光缆外径控制在</w:t>
            </w:r>
            <w:r>
              <w:rPr>
                <w:rFonts w:asciiTheme="minorEastAsia" w:hAnsiTheme="minorEastAsia" w:eastAsiaTheme="minorEastAsia"/>
                <w:color w:val="000000" w:themeColor="text1"/>
                <w:sz w:val="24"/>
                <w14:textFill>
                  <w14:solidFill>
                    <w14:schemeClr w14:val="tx1"/>
                  </w14:solidFill>
                </w14:textFill>
              </w:rPr>
              <w:t>9.5mm</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13.5mm</w:t>
            </w:r>
            <w:r>
              <w:rPr>
                <w:rFonts w:hint="eastAsia" w:asciiTheme="minorEastAsia" w:hAnsiTheme="minorEastAsia" w:eastAsiaTheme="minorEastAsia"/>
                <w:color w:val="000000" w:themeColor="text1"/>
                <w:sz w:val="24"/>
                <w14:textFill>
                  <w14:solidFill>
                    <w14:schemeClr w14:val="tx1"/>
                  </w14:solidFill>
                </w14:textFill>
              </w:rPr>
              <w:t>区间，根据室内、室外结构选型。</w:t>
            </w:r>
          </w:p>
          <w:p w14:paraId="2CAB7C38">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5</w:t>
            </w:r>
            <w:r>
              <w:rPr>
                <w:rFonts w:hint="eastAsia" w:asciiTheme="minorEastAsia" w:hAnsiTheme="minorEastAsia" w:eastAsiaTheme="minorEastAsia"/>
                <w:color w:val="000000" w:themeColor="text1"/>
                <w:sz w:val="24"/>
                <w14:textFill>
                  <w14:solidFill>
                    <w14:schemeClr w14:val="tx1"/>
                  </w14:solidFill>
                </w14:textFill>
              </w:rPr>
              <w:t>、机械性能：长期抗拉载荷</w:t>
            </w:r>
            <w:r>
              <w:rPr>
                <w:rFonts w:asciiTheme="minorEastAsia" w:hAnsiTheme="minorEastAsia" w:eastAsiaTheme="minorEastAsia"/>
                <w:color w:val="000000" w:themeColor="text1"/>
                <w:sz w:val="24"/>
                <w14:textFill>
                  <w14:solidFill>
                    <w14:schemeClr w14:val="tx1"/>
                  </w14:solidFill>
                </w14:textFill>
              </w:rPr>
              <w:t>600N</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1500N</w:t>
            </w:r>
            <w:r>
              <w:rPr>
                <w:rFonts w:hint="eastAsia" w:asciiTheme="minorEastAsia" w:hAnsiTheme="minorEastAsia" w:eastAsiaTheme="minorEastAsia"/>
                <w:color w:val="000000" w:themeColor="text1"/>
                <w:sz w:val="24"/>
                <w14:textFill>
                  <w14:solidFill>
                    <w14:schemeClr w14:val="tx1"/>
                  </w14:solidFill>
                </w14:textFill>
              </w:rPr>
              <w:t>，短期抗拉载荷</w:t>
            </w:r>
            <w:r>
              <w:rPr>
                <w:rFonts w:asciiTheme="minorEastAsia" w:hAnsiTheme="minorEastAsia" w:eastAsiaTheme="minorEastAsia"/>
                <w:color w:val="000000" w:themeColor="text1"/>
                <w:sz w:val="24"/>
                <w14:textFill>
                  <w14:solidFill>
                    <w14:schemeClr w14:val="tx1"/>
                  </w14:solidFill>
                </w14:textFill>
              </w:rPr>
              <w:t>2000N</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3000N</w:t>
            </w:r>
            <w:r>
              <w:rPr>
                <w:rFonts w:hint="eastAsia" w:asciiTheme="minorEastAsia" w:hAnsiTheme="minorEastAsia" w:eastAsiaTheme="minorEastAsia"/>
                <w:color w:val="000000" w:themeColor="text1"/>
                <w:sz w:val="24"/>
                <w14:textFill>
                  <w14:solidFill>
                    <w14:schemeClr w14:val="tx1"/>
                  </w14:solidFill>
                </w14:textFill>
              </w:rPr>
              <w:t>；最小弯曲半径动态</w:t>
            </w:r>
            <w:r>
              <w:rPr>
                <w:rFonts w:asciiTheme="minorEastAsia" w:hAnsiTheme="minorEastAsia" w:eastAsiaTheme="minorEastAsia"/>
                <w:color w:val="000000" w:themeColor="text1"/>
                <w:sz w:val="24"/>
                <w14:textFill>
                  <w14:solidFill>
                    <w14:schemeClr w14:val="tx1"/>
                  </w14:solidFill>
                </w14:textFill>
              </w:rPr>
              <w:t>20D</w:t>
            </w:r>
            <w:r>
              <w:rPr>
                <w:rFonts w:hint="eastAsia" w:asciiTheme="minorEastAsia" w:hAnsiTheme="minorEastAsia" w:eastAsiaTheme="minorEastAsia"/>
                <w:color w:val="000000" w:themeColor="text1"/>
                <w:sz w:val="24"/>
                <w14:textFill>
                  <w14:solidFill>
                    <w14:schemeClr w14:val="tx1"/>
                  </w14:solidFill>
                </w14:textFill>
              </w:rPr>
              <w:t>、静态</w:t>
            </w:r>
            <w:r>
              <w:rPr>
                <w:rFonts w:asciiTheme="minorEastAsia" w:hAnsiTheme="minorEastAsia" w:eastAsiaTheme="minorEastAsia"/>
                <w:color w:val="000000" w:themeColor="text1"/>
                <w:sz w:val="24"/>
                <w14:textFill>
                  <w14:solidFill>
                    <w14:schemeClr w14:val="tx1"/>
                  </w14:solidFill>
                </w14:textFill>
              </w:rPr>
              <w:t>10D</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D</w:t>
            </w:r>
            <w:r>
              <w:rPr>
                <w:rFonts w:hint="eastAsia" w:asciiTheme="minorEastAsia" w:hAnsiTheme="minorEastAsia" w:eastAsiaTheme="minorEastAsia"/>
                <w:color w:val="000000" w:themeColor="text1"/>
                <w:sz w:val="24"/>
                <w14:textFill>
                  <w14:solidFill>
                    <w14:schemeClr w14:val="tx1"/>
                  </w14:solidFill>
                </w14:textFill>
              </w:rPr>
              <w:t>为光缆外径）。</w:t>
            </w:r>
          </w:p>
          <w:p w14:paraId="2019657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6、护套材质与适用场景：室外光缆护套采用PE材质；室内光缆护套可选用低烟无卤LSZH或PVC材质。室外可选GYTA、GYTS、GYXTW结构；室内可选GJFJV结构。</w:t>
            </w:r>
          </w:p>
          <w:p w14:paraId="5BA2C314">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、环境指标：工作温度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40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℃，耐高低温，适应校园室外管道、弱电井、室内桥架敷设。</w:t>
            </w:r>
          </w:p>
        </w:tc>
        <w:tc>
          <w:tcPr>
            <w:tcW w:w="588" w:type="dxa"/>
          </w:tcPr>
          <w:p w14:paraId="059F373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r>
              <w:rPr>
                <w:rFonts w:asciiTheme="minorEastAsia" w:hAnsiTheme="minorEastAsia" w:eastAsiaTheme="minorEastAsia"/>
                <w:color w:val="000000" w:themeColor="text1"/>
                <w:sz w:val="24"/>
                <w14:textFill>
                  <w14:solidFill>
                    <w14:schemeClr w14:val="tx1"/>
                  </w14:solidFill>
                </w14:textFill>
              </w:rPr>
              <w:t>00</w:t>
            </w:r>
          </w:p>
        </w:tc>
        <w:tc>
          <w:tcPr>
            <w:tcW w:w="402" w:type="dxa"/>
          </w:tcPr>
          <w:p w14:paraId="02EB535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m</w:t>
            </w:r>
          </w:p>
        </w:tc>
        <w:tc>
          <w:tcPr>
            <w:tcW w:w="402" w:type="dxa"/>
          </w:tcPr>
          <w:p w14:paraId="31BE872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E6E8041">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3D90F8D">
            <w:pPr>
              <w:rPr>
                <w:rFonts w:asciiTheme="minorEastAsia" w:hAnsiTheme="minorEastAsia" w:eastAsiaTheme="minorEastAsia"/>
                <w:color w:val="000000" w:themeColor="text1"/>
                <w:sz w:val="24"/>
                <w14:textFill>
                  <w14:solidFill>
                    <w14:schemeClr w14:val="tx1"/>
                  </w14:solidFill>
                </w14:textFill>
              </w:rPr>
            </w:pPr>
          </w:p>
        </w:tc>
      </w:tr>
      <w:tr w14:paraId="6876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1673D8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6</w:t>
            </w:r>
          </w:p>
        </w:tc>
        <w:tc>
          <w:tcPr>
            <w:tcW w:w="782" w:type="dxa"/>
          </w:tcPr>
          <w:p w14:paraId="4845199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24芯ODF光纤配线架</w:t>
            </w:r>
          </w:p>
        </w:tc>
        <w:tc>
          <w:tcPr>
            <w:tcW w:w="4869" w:type="dxa"/>
          </w:tcPr>
          <w:p w14:paraId="1967F96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1、容量规格：满配24芯光纤接续与配线，1U高度，19英寸标准机架式安装，抽屉抽拉式结构。</w:t>
            </w:r>
          </w:p>
          <w:p w14:paraId="4340DD9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2、材质工艺：壳体采用优质冷轧钢板，板材厚度≥1.2mm；表面脱脂磷化后静电喷塑，防锈防腐。</w:t>
            </w:r>
          </w:p>
          <w:p w14:paraId="523DDF1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3、内部配置：配套独立熔接盘，盘纤空间充足，光纤弯曲半径满足规范；自带光纤标识标签位，方便链路编号管理。</w:t>
            </w:r>
          </w:p>
          <w:p w14:paraId="5CFC0E7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4、适配器配置：可适配SC/FC/LC光纤适配器（按项目需求选定），耦合器插入损耗≤0.2dB，回波损耗满足单模UPC≥50dB。</w:t>
            </w:r>
          </w:p>
          <w:p w14:paraId="3A4800E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5、布线结构：后部预留光缆进线孔，带橡胶护圈，防止光缆外皮割伤；内部设置理线卡扣，光纤走线规整。</w:t>
            </w:r>
          </w:p>
          <w:p w14:paraId="5F328F9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6、机械性能：抽拉导轨推拉顺畅无卡顿，抽屉带限位防脱落；门锁牢固，可防止意外滑出。</w:t>
            </w:r>
          </w:p>
          <w:p w14:paraId="0B7B3B8A">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、执行标准：产品符合</w:t>
            </w:r>
            <w:r>
              <w:rPr>
                <w:rFonts w:asciiTheme="minorEastAsia" w:hAnsiTheme="minorEastAsia" w:eastAsiaTheme="minorEastAsia"/>
                <w:color w:val="000000" w:themeColor="text1"/>
                <w:sz w:val="24"/>
                <w14:textFill>
                  <w14:solidFill>
                    <w14:schemeClr w14:val="tx1"/>
                  </w14:solidFill>
                </w14:textFill>
              </w:rPr>
              <w:t>YD/T</w:t>
            </w:r>
            <w:r>
              <w:rPr>
                <w:rFonts w:eastAsiaTheme="minorEastAsia"/>
                <w:color w:val="000000" w:themeColor="text1"/>
                <w:sz w:val="24"/>
                <w14:textFill>
                  <w14:solidFill>
                    <w14:schemeClr w14:val="tx1"/>
                  </w14:solidFill>
                </w14:textFill>
              </w:rPr>
              <w:t> </w:t>
            </w:r>
            <w:r>
              <w:rPr>
                <w:rFonts w:asciiTheme="minorEastAsia" w:hAnsiTheme="minorEastAsia" w:eastAsiaTheme="minorEastAsia"/>
                <w:color w:val="000000" w:themeColor="text1"/>
                <w:sz w:val="24"/>
                <w14:textFill>
                  <w14:solidFill>
                    <w14:schemeClr w14:val="tx1"/>
                  </w14:solidFill>
                </w14:textFill>
              </w:rPr>
              <w:t>778</w:t>
            </w:r>
            <w:r>
              <w:rPr>
                <w:rFonts w:hint="eastAsia" w:asciiTheme="minorEastAsia" w:hAnsiTheme="minorEastAsia" w:eastAsiaTheme="minorEastAsia"/>
                <w:color w:val="000000" w:themeColor="text1"/>
                <w:sz w:val="24"/>
                <w14:textFill>
                  <w14:solidFill>
                    <w14:schemeClr w14:val="tx1"/>
                  </w14:solidFill>
                </w14:textFill>
              </w:rPr>
              <w:t>通信行业标准；工作温度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+55</w:t>
            </w:r>
            <w:r>
              <w:rPr>
                <w:rFonts w:hint="eastAsia" w:asciiTheme="minorEastAsia" w:hAnsiTheme="minorEastAsia" w:eastAsiaTheme="minorEastAsia"/>
                <w:color w:val="000000" w:themeColor="text1"/>
                <w:sz w:val="24"/>
                <w14:textFill>
                  <w14:solidFill>
                    <w14:schemeClr w14:val="tx1"/>
                  </w14:solidFill>
                </w14:textFill>
              </w:rPr>
              <w:t>℃，可长期机房</w:t>
            </w:r>
            <w:r>
              <w:rPr>
                <w:rFonts w:asciiTheme="minorEastAsia" w:hAnsiTheme="minorEastAsia" w:eastAsiaTheme="minorEastAsia"/>
                <w:color w:val="000000" w:themeColor="text1"/>
                <w:sz w:val="24"/>
                <w14:textFill>
                  <w14:solidFill>
                    <w14:schemeClr w14:val="tx1"/>
                  </w14:solidFill>
                </w14:textFill>
              </w:rPr>
              <w:t>7×24</w:t>
            </w:r>
            <w:r>
              <w:rPr>
                <w:rFonts w:hint="eastAsia" w:asciiTheme="minorEastAsia" w:hAnsiTheme="minorEastAsia" w:eastAsiaTheme="minorEastAsia"/>
                <w:color w:val="000000" w:themeColor="text1"/>
                <w:sz w:val="24"/>
                <w14:textFill>
                  <w14:solidFill>
                    <w14:schemeClr w14:val="tx1"/>
                  </w14:solidFill>
                </w14:textFill>
              </w:rPr>
              <w:t>小时运行。</w:t>
            </w:r>
          </w:p>
          <w:p w14:paraId="0364D98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8、配套配件：含固定螺丝、光缆固定扎件等全套安装辅材。</w:t>
            </w:r>
          </w:p>
        </w:tc>
        <w:tc>
          <w:tcPr>
            <w:tcW w:w="588" w:type="dxa"/>
          </w:tcPr>
          <w:p w14:paraId="7A73BBA1">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536ADCA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3B27D426">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505B65C">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3FAAD1A">
            <w:pPr>
              <w:rPr>
                <w:rFonts w:asciiTheme="minorEastAsia" w:hAnsiTheme="minorEastAsia" w:eastAsiaTheme="minorEastAsia"/>
                <w:color w:val="000000" w:themeColor="text1"/>
                <w:sz w:val="24"/>
                <w14:textFill>
                  <w14:solidFill>
                    <w14:schemeClr w14:val="tx1"/>
                  </w14:solidFill>
                </w14:textFill>
              </w:rPr>
            </w:pPr>
          </w:p>
        </w:tc>
      </w:tr>
      <w:tr w14:paraId="70B0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920C6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7</w:t>
            </w:r>
          </w:p>
        </w:tc>
        <w:tc>
          <w:tcPr>
            <w:tcW w:w="782" w:type="dxa"/>
          </w:tcPr>
          <w:p w14:paraId="6244A59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千兆单模单纤光纤收发器</w:t>
            </w:r>
          </w:p>
        </w:tc>
        <w:tc>
          <w:tcPr>
            <w:tcW w:w="4869" w:type="dxa"/>
          </w:tcPr>
          <w:p w14:paraId="408942E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1、接口配置：配置1个千兆自适应RJ45电口、1个千兆SC光纤接口；采用单纤波分复用传输模式，节约光纤布线资源，设备成对使用。</w:t>
            </w:r>
          </w:p>
          <w:p w14:paraId="32B0CF3F">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2、传输性能：免配置即插即用，数据快速转发、无损传输；单模光纤传输距离≥3km，满足高清监控视频稳定传输。</w:t>
            </w:r>
          </w:p>
          <w:p w14:paraId="4936173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3、防护性能：端口具备≥4kV防雷浪涌防护能力，可抵御感应雷击，提升网络运行可靠性。</w:t>
            </w:r>
          </w:p>
          <w:p w14:paraId="3A0E6C81">
            <w:pP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、环境适应性：准工业级硬件设计，工作温度</w:t>
            </w:r>
            <w:r>
              <w:rPr>
                <w:rFonts w:hint="eastAsia" w:ascii="MS Gothic" w:hAnsi="MS Gothic" w:eastAsia="MS Gothic" w:cs="MS Gothic"/>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20</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+60</w:t>
            </w:r>
            <w:r>
              <w:rPr>
                <w:rFonts w:hint="eastAsia" w:asciiTheme="minorEastAsia" w:hAnsiTheme="minorEastAsia" w:eastAsiaTheme="minorEastAsia"/>
                <w:color w:val="000000" w:themeColor="text1"/>
                <w:sz w:val="24"/>
                <w14:textFill>
                  <w14:solidFill>
                    <w14:schemeClr w14:val="tx1"/>
                  </w14:solidFill>
                </w14:textFill>
              </w:rPr>
              <w:t>℃，宽温运行，适应楼道、弱电间等复杂环境。</w:t>
            </w:r>
          </w:p>
          <w:p w14:paraId="359411C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5、壳体结构：采用全金属外壳，结构坚固，自然散热效果好，防尘抗干扰，适合长期不间断运行。</w:t>
            </w:r>
          </w:p>
          <w:p w14:paraId="3C31481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6、运行要求：支持7×24小时连续工作，适配监控系统光纤点位信号转换。</w:t>
            </w:r>
          </w:p>
        </w:tc>
        <w:tc>
          <w:tcPr>
            <w:tcW w:w="588" w:type="dxa"/>
          </w:tcPr>
          <w:p w14:paraId="2D53045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w:t>
            </w:r>
          </w:p>
        </w:tc>
        <w:tc>
          <w:tcPr>
            <w:tcW w:w="402" w:type="dxa"/>
          </w:tcPr>
          <w:p w14:paraId="33F2627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台</w:t>
            </w:r>
          </w:p>
        </w:tc>
        <w:tc>
          <w:tcPr>
            <w:tcW w:w="402" w:type="dxa"/>
          </w:tcPr>
          <w:p w14:paraId="6572157D">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3D49CDC4">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13F65BF">
            <w:pPr>
              <w:rPr>
                <w:rFonts w:asciiTheme="minorEastAsia" w:hAnsiTheme="minorEastAsia" w:eastAsiaTheme="minorEastAsia"/>
                <w:color w:val="000000" w:themeColor="text1"/>
                <w:sz w:val="24"/>
                <w14:textFill>
                  <w14:solidFill>
                    <w14:schemeClr w14:val="tx1"/>
                  </w14:solidFill>
                </w14:textFill>
              </w:rPr>
            </w:pPr>
          </w:p>
        </w:tc>
      </w:tr>
      <w:tr w14:paraId="61FA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7E691C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8</w:t>
            </w:r>
          </w:p>
        </w:tc>
        <w:tc>
          <w:tcPr>
            <w:tcW w:w="782" w:type="dxa"/>
          </w:tcPr>
          <w:p w14:paraId="367EB88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机柜插座</w:t>
            </w:r>
          </w:p>
        </w:tc>
        <w:tc>
          <w:tcPr>
            <w:tcW w:w="4869" w:type="dxa"/>
          </w:tcPr>
          <w:p w14:paraId="2BA8CE4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1、产品类型：19英寸机架式PDU机柜电源插座，8位输出口</w:t>
            </w:r>
          </w:p>
          <w:p w14:paraId="1AF7A09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2、电气规格：额定10A/250V，额定总功率≥2500W；8个新国标五孔插座，每孔带防触电安全门</w:t>
            </w:r>
          </w:p>
          <w:p w14:paraId="5E1B44A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3、开关配置：带双断总控开关，可同时切断火线、零线，带电源指示灯 </w:t>
            </w:r>
          </w:p>
          <w:p w14:paraId="05FE341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4、结构材质：壳体为加厚铝合金型材，耐腐蚀、散热优良；内部采用一体式铜条，无焊点，导电稳定、不易发热</w:t>
            </w:r>
          </w:p>
          <w:p w14:paraId="49151D4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5、线缆配置：电源线规格不低于3×1.5mm²纯铜芯；线长1.8米，含插头总长2.25米；国标10A插头</w:t>
            </w:r>
          </w:p>
          <w:p w14:paraId="5040901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6、安装方式：自带可旋转安装挂耳，支持机柜横向、竖向固定安装</w:t>
            </w:r>
          </w:p>
          <w:p w14:paraId="3CFD13E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7、资质要求：产品通过国家3C强制性认证，符合GB2099系列新国标要求</w:t>
            </w:r>
          </w:p>
        </w:tc>
        <w:tc>
          <w:tcPr>
            <w:tcW w:w="588" w:type="dxa"/>
          </w:tcPr>
          <w:p w14:paraId="73CF734E">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10480A1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4DF3C957">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24B931A">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C73DC2A">
            <w:pPr>
              <w:rPr>
                <w:rFonts w:asciiTheme="minorEastAsia" w:hAnsiTheme="minorEastAsia" w:eastAsiaTheme="minorEastAsia"/>
                <w:color w:val="000000" w:themeColor="text1"/>
                <w:sz w:val="24"/>
                <w14:textFill>
                  <w14:solidFill>
                    <w14:schemeClr w14:val="tx1"/>
                  </w14:solidFill>
                </w14:textFill>
              </w:rPr>
            </w:pPr>
          </w:p>
        </w:tc>
      </w:tr>
      <w:tr w14:paraId="216F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12D60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9</w:t>
            </w:r>
          </w:p>
        </w:tc>
        <w:tc>
          <w:tcPr>
            <w:tcW w:w="782" w:type="dxa"/>
          </w:tcPr>
          <w:p w14:paraId="4895EB6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开关</w:t>
            </w:r>
          </w:p>
        </w:tc>
        <w:tc>
          <w:tcPr>
            <w:tcW w:w="4869" w:type="dxa"/>
          </w:tcPr>
          <w:p w14:paraId="43B51AF9">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1、产品类型：86型墙壁翘板开关，双极双断结构，可同时断开火线、零线。</w:t>
            </w:r>
          </w:p>
          <w:p w14:paraId="646936F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2、电气规格：额定电流≥16AX，额定电压250V交流，适配大功率设备供电。</w:t>
            </w:r>
          </w:p>
          <w:p w14:paraId="3397937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3、触点材质：采用银合金触点，耐高温、不易起弧，电气寿命≥40000次。</w:t>
            </w:r>
          </w:p>
          <w:p w14:paraId="4A91334B">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4、面板材质：外壳采用阻燃PC材料（UL94-V0级），抗老化、不易发黄；带夜间荧光指示。</w:t>
            </w:r>
          </w:p>
          <w:p w14:paraId="6D53B45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5、接线结构：加大接线端子，适配多股铜导线，接线牢固不松动。</w:t>
            </w:r>
          </w:p>
          <w:p w14:paraId="2319A5D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6、执行标准：满足GB/T16915.1国家标准，产品具备3C强制性认证。</w:t>
            </w:r>
          </w:p>
          <w:p w14:paraId="7B4A58E7">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7、安装尺寸：标准86×86mm，适配常规暗装底盒。</w:t>
            </w:r>
          </w:p>
        </w:tc>
        <w:tc>
          <w:tcPr>
            <w:tcW w:w="588" w:type="dxa"/>
          </w:tcPr>
          <w:p w14:paraId="5424713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w:t>
            </w:r>
          </w:p>
        </w:tc>
        <w:tc>
          <w:tcPr>
            <w:tcW w:w="402" w:type="dxa"/>
          </w:tcPr>
          <w:p w14:paraId="06940AE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个</w:t>
            </w:r>
          </w:p>
        </w:tc>
        <w:tc>
          <w:tcPr>
            <w:tcW w:w="402" w:type="dxa"/>
          </w:tcPr>
          <w:p w14:paraId="7EA19D92">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3BC9169">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1963C390">
            <w:pPr>
              <w:rPr>
                <w:rFonts w:asciiTheme="minorEastAsia" w:hAnsiTheme="minorEastAsia" w:eastAsiaTheme="minorEastAsia"/>
                <w:color w:val="000000" w:themeColor="text1"/>
                <w:sz w:val="24"/>
                <w14:textFill>
                  <w14:solidFill>
                    <w14:schemeClr w14:val="tx1"/>
                  </w14:solidFill>
                </w14:textFill>
              </w:rPr>
            </w:pPr>
          </w:p>
        </w:tc>
      </w:tr>
      <w:tr w14:paraId="62C2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8D8507C">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0</w:t>
            </w:r>
          </w:p>
        </w:tc>
        <w:tc>
          <w:tcPr>
            <w:tcW w:w="782" w:type="dxa"/>
          </w:tcPr>
          <w:p w14:paraId="2463F1A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辅材</w:t>
            </w:r>
          </w:p>
        </w:tc>
        <w:tc>
          <w:tcPr>
            <w:tcW w:w="4869" w:type="dxa"/>
          </w:tcPr>
          <w:p w14:paraId="77A096C3">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本项目施工所需全部辅材（螺丝、扎带、线卡、水晶头、接线端子、号码管、胶布、标签等）由成交供应商自备，费用含在总报价中；辅材须为工程合格产品，满足弱电施工规范及长期使用要求。</w:t>
            </w:r>
          </w:p>
        </w:tc>
        <w:tc>
          <w:tcPr>
            <w:tcW w:w="588" w:type="dxa"/>
          </w:tcPr>
          <w:p w14:paraId="7D7477E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31200BB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w:t>
            </w:r>
          </w:p>
        </w:tc>
        <w:tc>
          <w:tcPr>
            <w:tcW w:w="402" w:type="dxa"/>
          </w:tcPr>
          <w:p w14:paraId="0F0B1404">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66737395">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0B02E4F7">
            <w:pPr>
              <w:rPr>
                <w:rFonts w:asciiTheme="minorEastAsia" w:hAnsiTheme="minorEastAsia" w:eastAsiaTheme="minorEastAsia"/>
                <w:color w:val="000000" w:themeColor="text1"/>
                <w:sz w:val="24"/>
                <w14:textFill>
                  <w14:solidFill>
                    <w14:schemeClr w14:val="tx1"/>
                  </w14:solidFill>
                </w14:textFill>
              </w:rPr>
            </w:pPr>
          </w:p>
        </w:tc>
      </w:tr>
      <w:tr w14:paraId="5299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8906A00">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w:t>
            </w:r>
            <w:r>
              <w:rPr>
                <w:rFonts w:asciiTheme="minorEastAsia" w:hAnsiTheme="minorEastAsia" w:eastAsiaTheme="minorEastAsia"/>
                <w:color w:val="000000" w:themeColor="text1"/>
                <w:sz w:val="24"/>
                <w14:textFill>
                  <w14:solidFill>
                    <w14:schemeClr w14:val="tx1"/>
                  </w14:solidFill>
                </w14:textFill>
              </w:rPr>
              <w:t>1</w:t>
            </w:r>
          </w:p>
        </w:tc>
        <w:tc>
          <w:tcPr>
            <w:tcW w:w="782" w:type="dxa"/>
          </w:tcPr>
          <w:p w14:paraId="2AFD7364">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安装调试费</w:t>
            </w:r>
          </w:p>
        </w:tc>
        <w:tc>
          <w:tcPr>
            <w:tcW w:w="4869" w:type="dxa"/>
          </w:tcPr>
          <w:p w14:paraId="5C4D5E25">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报价包含所有设备安装、布线施工、系统调试、参数配置、联调测试、现场培训等全部安装调试费用，采购人不再追加费用，系统调试合格后方可验收。安装调试完成后系统需达到设计使用要求，视频画面清晰、录像存储正常、录像可回放、网络传输稳定、各项侦测功能正常。</w:t>
            </w:r>
          </w:p>
        </w:tc>
        <w:tc>
          <w:tcPr>
            <w:tcW w:w="588" w:type="dxa"/>
          </w:tcPr>
          <w:p w14:paraId="7187AAC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p>
        </w:tc>
        <w:tc>
          <w:tcPr>
            <w:tcW w:w="402" w:type="dxa"/>
          </w:tcPr>
          <w:p w14:paraId="627BCE88">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项</w:t>
            </w:r>
          </w:p>
        </w:tc>
        <w:tc>
          <w:tcPr>
            <w:tcW w:w="402" w:type="dxa"/>
          </w:tcPr>
          <w:p w14:paraId="23C4221E">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73569AD1">
            <w:pPr>
              <w:rPr>
                <w:rFonts w:asciiTheme="minorEastAsia" w:hAnsiTheme="minorEastAsia" w:eastAsiaTheme="minorEastAsia"/>
                <w:color w:val="000000" w:themeColor="text1"/>
                <w:sz w:val="24"/>
                <w14:textFill>
                  <w14:solidFill>
                    <w14:schemeClr w14:val="tx1"/>
                  </w14:solidFill>
                </w14:textFill>
              </w:rPr>
            </w:pPr>
          </w:p>
        </w:tc>
        <w:tc>
          <w:tcPr>
            <w:tcW w:w="402" w:type="dxa"/>
          </w:tcPr>
          <w:p w14:paraId="4A580866">
            <w:pPr>
              <w:rPr>
                <w:rFonts w:asciiTheme="minorEastAsia" w:hAnsiTheme="minorEastAsia" w:eastAsiaTheme="minorEastAsia"/>
                <w:color w:val="000000" w:themeColor="text1"/>
                <w:sz w:val="24"/>
                <w14:textFill>
                  <w14:solidFill>
                    <w14:schemeClr w14:val="tx1"/>
                  </w14:solidFill>
                </w14:textFill>
              </w:rPr>
            </w:pPr>
          </w:p>
        </w:tc>
      </w:tr>
    </w:tbl>
    <w:p w14:paraId="09E3DEE1">
      <w:pPr>
        <w:jc w:val="left"/>
        <w:rPr>
          <w:rFonts w:ascii="宋体" w:hAnsi="宋体"/>
          <w:bCs/>
          <w:sz w:val="24"/>
          <w:lang w:val="zh-CN"/>
        </w:rPr>
      </w:pPr>
    </w:p>
    <w:p w14:paraId="17608DF5">
      <w:pPr>
        <w:jc w:val="left"/>
        <w:rPr>
          <w:rFonts w:ascii="宋体" w:hAnsi="宋体"/>
          <w:bCs/>
          <w:sz w:val="24"/>
          <w:lang w:val="zh-CN"/>
        </w:rPr>
      </w:pPr>
    </w:p>
    <w:p w14:paraId="58AEF7EC">
      <w:pPr>
        <w:jc w:val="left"/>
        <w:rPr>
          <w:rFonts w:ascii="宋体" w:hAnsi="宋体" w:cs="宋体"/>
          <w:sz w:val="24"/>
        </w:rPr>
      </w:pPr>
      <w:r>
        <w:rPr>
          <w:rFonts w:hint="eastAsia" w:ascii="宋体" w:hAnsi="宋体"/>
          <w:bCs/>
          <w:sz w:val="24"/>
          <w:lang w:val="zh-CN"/>
        </w:rPr>
        <w:t>（注：本表是对《报价表》的补充说明，报价人可自行编制格式详细填写，或套用本格式填写。表中的金额等合计数应与《报价表》相符。）</w:t>
      </w:r>
    </w:p>
    <w:p w14:paraId="1D4786E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供应商名称：</w:t>
      </w:r>
    </w:p>
    <w:p w14:paraId="7282CE4F">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rPr>
        <w:t>供应商（公章）：</w:t>
      </w:r>
    </w:p>
    <w:p w14:paraId="16A1DA1F">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rPr>
        <w:t>法定代表人(负责人)或授权代表（签字或盖章）：</w:t>
      </w:r>
    </w:p>
    <w:p w14:paraId="3E5B9225">
      <w:pPr>
        <w:spacing w:line="400" w:lineRule="exact"/>
        <w:ind w:firstLine="480" w:firstLineChars="200"/>
        <w:rPr>
          <w:rFonts w:ascii="宋体" w:hAnsi="宋体" w:cs="宋体"/>
          <w:sz w:val="24"/>
        </w:rPr>
      </w:pPr>
      <w:r>
        <w:rPr>
          <w:rFonts w:hint="eastAsia" w:ascii="宋体" w:hAnsi="宋体" w:cs="宋体"/>
          <w:sz w:val="24"/>
        </w:rPr>
        <w:t>日期：   年  月  日</w:t>
      </w:r>
    </w:p>
    <w:p w14:paraId="6C577B6E">
      <w:pPr>
        <w:pStyle w:val="12"/>
        <w:rPr>
          <w:rFonts w:ascii="宋体" w:hAnsi="宋体"/>
          <w:bCs/>
          <w:color w:val="000000" w:themeColor="text1"/>
          <w14:textFill>
            <w14:solidFill>
              <w14:schemeClr w14:val="tx1"/>
            </w14:solidFill>
          </w14:textFill>
        </w:rPr>
      </w:pPr>
    </w:p>
    <w:p w14:paraId="6CD2FCA3">
      <w:pPr>
        <w:rPr>
          <w:rFonts w:ascii="宋体" w:hAnsi="宋体"/>
          <w:bCs/>
          <w:color w:val="000000" w:themeColor="text1"/>
          <w:sz w:val="24"/>
          <w14:textFill>
            <w14:solidFill>
              <w14:schemeClr w14:val="tx1"/>
            </w14:solidFill>
          </w14:textFill>
        </w:rPr>
      </w:pPr>
    </w:p>
    <w:p w14:paraId="13051D52">
      <w:pPr>
        <w:rPr>
          <w:rFonts w:ascii="宋体" w:hAnsi="宋体"/>
          <w:bCs/>
          <w:color w:val="000000" w:themeColor="text1"/>
          <w:sz w:val="24"/>
          <w14:textFill>
            <w14:solidFill>
              <w14:schemeClr w14:val="tx1"/>
            </w14:solidFill>
          </w14:textFill>
        </w:rPr>
      </w:pPr>
    </w:p>
    <w:p w14:paraId="4EFB2083">
      <w:pPr>
        <w:rPr>
          <w:rFonts w:ascii="宋体" w:hAnsi="宋体"/>
          <w:bCs/>
          <w:color w:val="000000" w:themeColor="text1"/>
          <w:sz w:val="24"/>
          <w14:textFill>
            <w14:solidFill>
              <w14:schemeClr w14:val="tx1"/>
            </w14:solidFill>
          </w14:textFill>
        </w:rPr>
      </w:pPr>
    </w:p>
    <w:p w14:paraId="758976DC">
      <w:pPr>
        <w:rPr>
          <w:rFonts w:ascii="宋体" w:hAnsi="宋体"/>
          <w:bCs/>
          <w:color w:val="000000" w:themeColor="text1"/>
          <w:sz w:val="24"/>
          <w14:textFill>
            <w14:solidFill>
              <w14:schemeClr w14:val="tx1"/>
            </w14:solidFill>
          </w14:textFill>
        </w:rPr>
      </w:pPr>
    </w:p>
    <w:p w14:paraId="3BB185E9">
      <w:pPr>
        <w:rPr>
          <w:rFonts w:ascii="宋体" w:hAnsi="宋体"/>
          <w:bCs/>
          <w:color w:val="000000" w:themeColor="text1"/>
          <w:sz w:val="24"/>
          <w14:textFill>
            <w14:solidFill>
              <w14:schemeClr w14:val="tx1"/>
            </w14:solidFill>
          </w14:textFill>
        </w:rPr>
      </w:pPr>
    </w:p>
    <w:p w14:paraId="062BB781">
      <w:pPr>
        <w:rPr>
          <w:rFonts w:ascii="宋体" w:hAnsi="宋体"/>
          <w:bCs/>
          <w:color w:val="000000" w:themeColor="text1"/>
          <w:sz w:val="24"/>
          <w14:textFill>
            <w14:solidFill>
              <w14:schemeClr w14:val="tx1"/>
            </w14:solidFill>
          </w14:textFill>
        </w:rPr>
      </w:pPr>
    </w:p>
    <w:p w14:paraId="1F2F596D">
      <w:pPr>
        <w:rPr>
          <w:rFonts w:ascii="宋体" w:hAnsi="宋体"/>
          <w:bCs/>
          <w:color w:val="000000" w:themeColor="text1"/>
          <w:sz w:val="24"/>
          <w14:textFill>
            <w14:solidFill>
              <w14:schemeClr w14:val="tx1"/>
            </w14:solidFill>
          </w14:textFill>
        </w:rPr>
      </w:pPr>
    </w:p>
    <w:p w14:paraId="35E54EE9">
      <w:pPr>
        <w:rPr>
          <w:rFonts w:ascii="宋体" w:hAnsi="宋体"/>
          <w:bCs/>
          <w:color w:val="000000" w:themeColor="text1"/>
          <w:sz w:val="24"/>
          <w14:textFill>
            <w14:solidFill>
              <w14:schemeClr w14:val="tx1"/>
            </w14:solidFill>
          </w14:textFill>
        </w:rPr>
      </w:pPr>
    </w:p>
    <w:p w14:paraId="6303374C">
      <w:pPr>
        <w:rPr>
          <w:rFonts w:ascii="宋体" w:hAnsi="宋体"/>
          <w:bCs/>
          <w:color w:val="000000" w:themeColor="text1"/>
          <w:sz w:val="24"/>
          <w14:textFill>
            <w14:solidFill>
              <w14:schemeClr w14:val="tx1"/>
            </w14:solidFill>
          </w14:textFill>
        </w:rPr>
      </w:pPr>
    </w:p>
    <w:p w14:paraId="453D0E35">
      <w:pPr>
        <w:rPr>
          <w:rFonts w:ascii="宋体" w:hAnsi="宋体"/>
          <w:bCs/>
          <w:color w:val="000000" w:themeColor="text1"/>
          <w:sz w:val="24"/>
          <w14:textFill>
            <w14:solidFill>
              <w14:schemeClr w14:val="tx1"/>
            </w14:solidFill>
          </w14:textFill>
        </w:rPr>
      </w:pPr>
    </w:p>
    <w:p w14:paraId="08C66B68">
      <w:pPr>
        <w:adjustRightInd w:val="0"/>
        <w:snapToGrid w:val="0"/>
        <w:spacing w:line="360" w:lineRule="auto"/>
        <w:jc w:val="center"/>
        <w:rPr>
          <w:rFonts w:ascii="宋体" w:hAnsi="宋体" w:cs="宋体"/>
          <w:b/>
          <w:bCs/>
          <w:sz w:val="24"/>
        </w:rPr>
      </w:pPr>
      <w:r>
        <w:rPr>
          <w:rFonts w:hint="eastAsia" w:ascii="仿宋" w:hAnsi="仿宋" w:eastAsia="仿宋" w:cs="仿宋"/>
          <w:b/>
          <w:sz w:val="32"/>
          <w:szCs w:val="32"/>
        </w:rPr>
        <w:t>（三）谈判报价表（二次）</w:t>
      </w:r>
    </w:p>
    <w:p w14:paraId="3D547585">
      <w:pPr>
        <w:spacing w:line="360" w:lineRule="auto"/>
        <w:jc w:val="left"/>
        <w:rPr>
          <w:rFonts w:ascii="宋体" w:hAnsi="宋体"/>
          <w:bCs/>
          <w:sz w:val="24"/>
          <w:lang w:val="zh-CN"/>
        </w:rPr>
      </w:pPr>
      <w:r>
        <w:rPr>
          <w:rFonts w:hint="eastAsia" w:ascii="宋体" w:hAnsi="宋体"/>
          <w:sz w:val="24"/>
        </w:rPr>
        <w:t>项目名称：</w:t>
      </w:r>
      <w:r>
        <w:rPr>
          <w:rFonts w:hint="eastAsia" w:ascii="宋体" w:hAnsi="宋体"/>
          <w:bCs/>
          <w:sz w:val="24"/>
          <w:lang w:val="zh-CN"/>
        </w:rPr>
        <w:t>新沂市第六中学教室监控设备项目</w:t>
      </w:r>
    </w:p>
    <w:p w14:paraId="2B33CBAB">
      <w:pPr>
        <w:pStyle w:val="20"/>
        <w:spacing w:line="360" w:lineRule="auto"/>
        <w:ind w:left="0" w:leftChars="0"/>
        <w:jc w:val="left"/>
        <w:rPr>
          <w:rFonts w:ascii="宋体" w:hAnsi="宋体"/>
          <w:szCs w:val="21"/>
        </w:rPr>
      </w:pPr>
      <w:r>
        <w:rPr>
          <w:rFonts w:hint="eastAsia" w:ascii="宋体" w:hAnsi="宋体"/>
          <w:sz w:val="24"/>
        </w:rPr>
        <w:t>项目编号：</w:t>
      </w:r>
      <w:r>
        <w:rPr>
          <w:rFonts w:hint="eastAsia" w:ascii="宋体" w:hAnsi="宋体"/>
          <w:sz w:val="24"/>
          <w:highlight w:val="yellow"/>
        </w:rPr>
        <w:t>XYSGJZXYYSFW-202</w:t>
      </w:r>
      <w:r>
        <w:rPr>
          <w:rFonts w:hint="eastAsia" w:ascii="宋体" w:hAnsi="宋体"/>
          <w:sz w:val="24"/>
          <w:highlight w:val="yellow"/>
          <w:lang w:val="en-US" w:eastAsia="zh-CN"/>
        </w:rPr>
        <w:t>6</w:t>
      </w:r>
      <w:r>
        <w:rPr>
          <w:rFonts w:hint="eastAsia" w:ascii="宋体" w:hAnsi="宋体"/>
          <w:szCs w:val="21"/>
        </w:rPr>
        <w:t xml:space="preserve">                          金额单位：元</w:t>
      </w:r>
    </w:p>
    <w:tbl>
      <w:tblPr>
        <w:tblStyle w:val="2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2725"/>
        <w:gridCol w:w="2841"/>
      </w:tblGrid>
      <w:tr w14:paraId="24CE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956" w:type="dxa"/>
            <w:noWrap/>
            <w:vAlign w:val="center"/>
          </w:tcPr>
          <w:p w14:paraId="142D124D">
            <w:pPr>
              <w:spacing w:line="400" w:lineRule="exact"/>
              <w:jc w:val="center"/>
              <w:rPr>
                <w:sz w:val="24"/>
              </w:rPr>
            </w:pPr>
            <w:r>
              <w:rPr>
                <w:rFonts w:hint="eastAsia" w:ascii="宋体" w:hAnsi="宋体" w:cs="宋体"/>
                <w:sz w:val="24"/>
              </w:rPr>
              <w:t>项目名称</w:t>
            </w:r>
          </w:p>
        </w:tc>
        <w:tc>
          <w:tcPr>
            <w:tcW w:w="2725" w:type="dxa"/>
            <w:noWrap/>
            <w:vAlign w:val="center"/>
          </w:tcPr>
          <w:p w14:paraId="11584AAB">
            <w:pPr>
              <w:jc w:val="center"/>
              <w:rPr>
                <w:sz w:val="24"/>
              </w:rPr>
            </w:pPr>
            <w:r>
              <w:rPr>
                <w:rFonts w:hint="eastAsia" w:ascii="宋体" w:hAnsi="宋体" w:cs="宋体"/>
                <w:sz w:val="24"/>
              </w:rPr>
              <w:t>项目内容</w:t>
            </w:r>
          </w:p>
        </w:tc>
        <w:tc>
          <w:tcPr>
            <w:tcW w:w="2841" w:type="dxa"/>
            <w:noWrap/>
            <w:vAlign w:val="center"/>
          </w:tcPr>
          <w:p w14:paraId="17CCA664">
            <w:pPr>
              <w:spacing w:line="400" w:lineRule="exact"/>
              <w:jc w:val="center"/>
              <w:rPr>
                <w:sz w:val="24"/>
              </w:rPr>
            </w:pPr>
            <w:r>
              <w:rPr>
                <w:rFonts w:hint="eastAsia"/>
                <w:sz w:val="24"/>
              </w:rPr>
              <w:t>总价（小写）</w:t>
            </w:r>
          </w:p>
        </w:tc>
      </w:tr>
      <w:tr w14:paraId="170F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956" w:type="dxa"/>
            <w:noWrap/>
            <w:vAlign w:val="center"/>
          </w:tcPr>
          <w:p w14:paraId="66CD6219">
            <w:pPr>
              <w:spacing w:line="400" w:lineRule="exact"/>
              <w:jc w:val="center"/>
              <w:rPr>
                <w:szCs w:val="21"/>
              </w:rPr>
            </w:pPr>
            <w:r>
              <w:rPr>
                <w:rFonts w:hint="eastAsia" w:ascii="宋体" w:hAnsi="宋体" w:cs="宋体"/>
                <w:sz w:val="24"/>
              </w:rPr>
              <w:t>新沂市第六中学教室监控设备项目</w:t>
            </w:r>
          </w:p>
        </w:tc>
        <w:tc>
          <w:tcPr>
            <w:tcW w:w="2725" w:type="dxa"/>
            <w:noWrap/>
            <w:vAlign w:val="center"/>
          </w:tcPr>
          <w:p w14:paraId="43EB3522">
            <w:pPr>
              <w:jc w:val="center"/>
              <w:rPr>
                <w:szCs w:val="21"/>
              </w:rPr>
            </w:pPr>
            <w:r>
              <w:rPr>
                <w:rFonts w:hint="eastAsia" w:ascii="宋体" w:hAnsi="宋体" w:cs="宋体"/>
                <w:sz w:val="24"/>
              </w:rPr>
              <w:t>详见响应文件</w:t>
            </w:r>
          </w:p>
        </w:tc>
        <w:tc>
          <w:tcPr>
            <w:tcW w:w="2841" w:type="dxa"/>
            <w:noWrap/>
            <w:vAlign w:val="center"/>
          </w:tcPr>
          <w:p w14:paraId="3C295368">
            <w:pPr>
              <w:spacing w:line="400" w:lineRule="exact"/>
              <w:jc w:val="center"/>
              <w:rPr>
                <w:sz w:val="24"/>
              </w:rPr>
            </w:pPr>
          </w:p>
        </w:tc>
      </w:tr>
      <w:tr w14:paraId="013E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956" w:type="dxa"/>
            <w:noWrap/>
            <w:vAlign w:val="center"/>
          </w:tcPr>
          <w:p w14:paraId="1FAA9960">
            <w:pPr>
              <w:spacing w:line="400" w:lineRule="exact"/>
              <w:jc w:val="center"/>
              <w:rPr>
                <w:sz w:val="24"/>
              </w:rPr>
            </w:pPr>
            <w:r>
              <w:rPr>
                <w:rFonts w:hint="eastAsia" w:ascii="宋体" w:hAnsi="宋体" w:cs="宋体"/>
                <w:sz w:val="24"/>
              </w:rPr>
              <w:t>总价（大写）：</w:t>
            </w:r>
          </w:p>
        </w:tc>
        <w:tc>
          <w:tcPr>
            <w:tcW w:w="5566" w:type="dxa"/>
            <w:gridSpan w:val="2"/>
            <w:noWrap/>
            <w:vAlign w:val="center"/>
          </w:tcPr>
          <w:p w14:paraId="05F1A074">
            <w:pPr>
              <w:spacing w:line="400" w:lineRule="exact"/>
              <w:jc w:val="center"/>
              <w:rPr>
                <w:sz w:val="24"/>
              </w:rPr>
            </w:pPr>
          </w:p>
        </w:tc>
      </w:tr>
    </w:tbl>
    <w:p w14:paraId="2E47F40D">
      <w:pPr>
        <w:rPr>
          <w:rFonts w:ascii="宋体" w:hAnsi="宋体"/>
          <w:sz w:val="24"/>
        </w:rPr>
      </w:pPr>
    </w:p>
    <w:p w14:paraId="03369A49">
      <w:pPr>
        <w:rPr>
          <w:rFonts w:ascii="宋体" w:hAnsi="宋体"/>
          <w:sz w:val="24"/>
        </w:rPr>
      </w:pPr>
      <w:r>
        <w:rPr>
          <w:rFonts w:hint="eastAsia" w:ascii="宋体" w:hAnsi="宋体"/>
          <w:sz w:val="24"/>
        </w:rPr>
        <w:t>供应商报价说明：</w:t>
      </w:r>
    </w:p>
    <w:p w14:paraId="5DAE8A24">
      <w:pPr>
        <w:rPr>
          <w:rFonts w:ascii="宋体" w:hAnsi="宋体"/>
          <w:sz w:val="24"/>
        </w:rPr>
      </w:pPr>
      <w:r>
        <w:rPr>
          <w:rFonts w:hint="eastAsia" w:ascii="宋体" w:hAnsi="宋体"/>
          <w:sz w:val="24"/>
        </w:rPr>
        <w:t>1、报价包括完成项目的所有费用，采购人不再支付报价以外的任何费用。</w:t>
      </w:r>
    </w:p>
    <w:p w14:paraId="7E33D872">
      <w:pPr>
        <w:widowControl/>
        <w:jc w:val="left"/>
        <w:rPr>
          <w:rFonts w:ascii="宋体" w:hAnsi="宋体"/>
          <w:sz w:val="24"/>
        </w:rPr>
      </w:pPr>
      <w:r>
        <w:rPr>
          <w:rFonts w:hint="eastAsia" w:ascii="宋体" w:hAnsi="宋体"/>
          <w:sz w:val="24"/>
        </w:rPr>
        <w:t>2、报价大小写不一致以大写为准。</w:t>
      </w:r>
    </w:p>
    <w:p w14:paraId="069F3B1D">
      <w:pPr>
        <w:widowControl/>
        <w:adjustRightInd w:val="0"/>
        <w:snapToGrid w:val="0"/>
        <w:jc w:val="left"/>
        <w:rPr>
          <w:rFonts w:ascii="宋体" w:hAnsi="宋体" w:cs="宋体"/>
          <w:sz w:val="24"/>
        </w:rPr>
      </w:pPr>
      <w:r>
        <w:rPr>
          <w:rFonts w:hint="eastAsia" w:ascii="宋体" w:hAnsi="宋体" w:cs="宋体"/>
          <w:sz w:val="24"/>
        </w:rPr>
        <w:t>3、如最后报价未列明单价，则最后所报各项单价计算方法为：（最后总价/最初总价）*各项最初报价的单价。</w:t>
      </w:r>
    </w:p>
    <w:p w14:paraId="323FC6ED">
      <w:pPr>
        <w:widowControl/>
        <w:adjustRightInd w:val="0"/>
        <w:snapToGrid w:val="0"/>
        <w:spacing w:line="360" w:lineRule="auto"/>
        <w:ind w:firstLine="480" w:firstLineChars="200"/>
        <w:jc w:val="left"/>
        <w:rPr>
          <w:rFonts w:ascii="宋体" w:hAnsi="宋体" w:cs="宋体"/>
          <w:sz w:val="24"/>
        </w:rPr>
      </w:pPr>
    </w:p>
    <w:p w14:paraId="73600C98">
      <w:pPr>
        <w:widowControl/>
        <w:adjustRightInd w:val="0"/>
        <w:snapToGrid w:val="0"/>
        <w:spacing w:line="360" w:lineRule="auto"/>
        <w:ind w:firstLine="480" w:firstLineChars="200"/>
        <w:jc w:val="left"/>
        <w:rPr>
          <w:rFonts w:ascii="宋体" w:hAnsi="宋体" w:cs="宋体"/>
          <w:sz w:val="24"/>
        </w:rPr>
      </w:pPr>
    </w:p>
    <w:p w14:paraId="0E6C7B44">
      <w:pPr>
        <w:widowControl/>
        <w:adjustRightInd w:val="0"/>
        <w:snapToGrid w:val="0"/>
        <w:spacing w:line="360" w:lineRule="auto"/>
        <w:jc w:val="left"/>
        <w:rPr>
          <w:rFonts w:ascii="宋体" w:hAnsi="宋体" w:cs="宋体"/>
          <w:sz w:val="24"/>
        </w:rPr>
      </w:pPr>
    </w:p>
    <w:p w14:paraId="5B54F64A">
      <w:pPr>
        <w:rPr>
          <w:rFonts w:ascii="宋体" w:hAnsi="宋体"/>
          <w:sz w:val="24"/>
        </w:rPr>
      </w:pPr>
      <w:r>
        <w:rPr>
          <w:rFonts w:hint="eastAsia" w:ascii="宋体" w:hAnsi="宋体"/>
          <w:sz w:val="24"/>
        </w:rPr>
        <w:t xml:space="preserve">供应商名称（公章）： </w:t>
      </w:r>
    </w:p>
    <w:p w14:paraId="4E00B6AA">
      <w:pPr>
        <w:rPr>
          <w:rFonts w:ascii="宋体" w:hAnsi="宋体"/>
          <w:sz w:val="24"/>
        </w:rPr>
      </w:pPr>
    </w:p>
    <w:p w14:paraId="01407E14">
      <w:pPr>
        <w:rPr>
          <w:rFonts w:ascii="宋体" w:hAnsi="宋体"/>
          <w:sz w:val="24"/>
        </w:rPr>
      </w:pPr>
      <w:r>
        <w:rPr>
          <w:rFonts w:hint="eastAsia" w:ascii="宋体"/>
          <w:sz w:val="24"/>
        </w:rPr>
        <w:t>法定代表人或授权代表（签字或加盖个人名章）</w:t>
      </w:r>
      <w:r>
        <w:rPr>
          <w:rFonts w:hint="eastAsia" w:ascii="宋体" w:hAnsi="宋体"/>
          <w:sz w:val="24"/>
        </w:rPr>
        <w:t>：</w:t>
      </w:r>
    </w:p>
    <w:p w14:paraId="2FFFA4FA">
      <w:pPr>
        <w:rPr>
          <w:rFonts w:ascii="宋体" w:hAnsi="宋体"/>
          <w:sz w:val="24"/>
        </w:rPr>
      </w:pPr>
    </w:p>
    <w:p w14:paraId="3BAE6BA8">
      <w:pPr>
        <w:rPr>
          <w:rFonts w:hAnsi="宋体"/>
          <w:sz w:val="24"/>
        </w:rPr>
      </w:pPr>
      <w:r>
        <w:rPr>
          <w:rFonts w:hint="eastAsia" w:hAnsi="宋体"/>
          <w:sz w:val="24"/>
        </w:rPr>
        <w:t>日    期：    年   月   日</w:t>
      </w:r>
    </w:p>
    <w:p w14:paraId="4E873FFF">
      <w:pPr>
        <w:widowControl/>
        <w:adjustRightInd w:val="0"/>
        <w:snapToGrid w:val="0"/>
        <w:jc w:val="left"/>
        <w:rPr>
          <w:rFonts w:ascii="宋体" w:hAnsi="宋体" w:cs="宋体"/>
          <w:sz w:val="24"/>
        </w:rPr>
      </w:pPr>
    </w:p>
    <w:p w14:paraId="0530A78F">
      <w:pPr>
        <w:spacing w:line="400" w:lineRule="exact"/>
        <w:ind w:firstLine="482" w:firstLineChars="200"/>
        <w:rPr>
          <w:rFonts w:ascii="宋体" w:hAnsi="宋体" w:cs="宋体"/>
          <w:b/>
          <w:bCs/>
          <w:iCs/>
          <w:sz w:val="24"/>
        </w:rPr>
      </w:pPr>
    </w:p>
    <w:p w14:paraId="621159C6">
      <w:pPr>
        <w:spacing w:line="400" w:lineRule="exact"/>
        <w:ind w:firstLine="482" w:firstLineChars="200"/>
        <w:rPr>
          <w:rFonts w:ascii="宋体" w:hAnsi="宋体" w:cs="宋体"/>
          <w:b/>
          <w:bCs/>
          <w:iCs/>
          <w:sz w:val="24"/>
        </w:rPr>
      </w:pPr>
    </w:p>
    <w:p w14:paraId="7D5DF407">
      <w:pPr>
        <w:spacing w:line="400" w:lineRule="exact"/>
        <w:ind w:firstLine="482" w:firstLineChars="200"/>
        <w:rPr>
          <w:rFonts w:ascii="宋体" w:hAnsi="宋体" w:cs="宋体"/>
          <w:b/>
          <w:bCs/>
          <w:iCs/>
          <w:sz w:val="24"/>
        </w:rPr>
      </w:pPr>
    </w:p>
    <w:p w14:paraId="5A66A86C">
      <w:pPr>
        <w:pStyle w:val="10"/>
        <w:ind w:left="902" w:hanging="482"/>
        <w:rPr>
          <w:rFonts w:ascii="宋体" w:hAnsi="宋体" w:cs="宋体"/>
          <w:b/>
          <w:bCs/>
          <w:iCs/>
          <w:color w:val="FF0000"/>
          <w:sz w:val="24"/>
        </w:rPr>
      </w:pPr>
      <w:r>
        <w:rPr>
          <w:rFonts w:hint="eastAsia" w:ascii="宋体" w:hAnsi="宋体" w:cs="宋体"/>
          <w:b/>
          <w:bCs/>
          <w:iCs/>
          <w:color w:val="FF0000"/>
          <w:sz w:val="24"/>
        </w:rPr>
        <w:t>注：此表供应商需自行打印加盖公章后带至开标现场，现场填写递交。</w:t>
      </w:r>
    </w:p>
    <w:p w14:paraId="1C748136">
      <w:pPr>
        <w:spacing w:line="400" w:lineRule="exact"/>
        <w:rPr>
          <w:rFonts w:ascii="宋体" w:hAnsi="宋体"/>
          <w:bCs/>
          <w:color w:val="000000" w:themeColor="text1"/>
          <w:sz w:val="24"/>
          <w:lang w:val="zh-CN"/>
          <w14:textFill>
            <w14:solidFill>
              <w14:schemeClr w14:val="tx1"/>
            </w14:solidFill>
          </w14:textFill>
        </w:rPr>
      </w:pPr>
    </w:p>
    <w:p w14:paraId="248086BB">
      <w:pPr>
        <w:spacing w:line="400" w:lineRule="exact"/>
        <w:ind w:firstLine="540" w:firstLineChars="225"/>
        <w:rPr>
          <w:rFonts w:ascii="宋体" w:hAnsi="宋体"/>
          <w:bCs/>
          <w:color w:val="000000" w:themeColor="text1"/>
          <w:sz w:val="24"/>
          <w:lang w:val="zh-CN"/>
          <w14:textFill>
            <w14:solidFill>
              <w14:schemeClr w14:val="tx1"/>
            </w14:solidFill>
          </w14:textFill>
        </w:rPr>
      </w:pPr>
    </w:p>
    <w:p w14:paraId="15ED9FD0">
      <w:pPr>
        <w:spacing w:line="400" w:lineRule="exact"/>
        <w:ind w:firstLine="540" w:firstLineChars="225"/>
        <w:rPr>
          <w:rFonts w:ascii="宋体" w:hAnsi="宋体"/>
          <w:bCs/>
          <w:color w:val="000000" w:themeColor="text1"/>
          <w:sz w:val="24"/>
          <w:lang w:val="zh-CN"/>
          <w14:textFill>
            <w14:solidFill>
              <w14:schemeClr w14:val="tx1"/>
            </w14:solidFill>
          </w14:textFill>
        </w:rPr>
      </w:pPr>
    </w:p>
    <w:p w14:paraId="00F9D452">
      <w:pPr>
        <w:spacing w:line="400" w:lineRule="exact"/>
        <w:ind w:firstLine="540" w:firstLineChars="225"/>
        <w:rPr>
          <w:rFonts w:ascii="宋体" w:hAnsi="宋体"/>
          <w:bCs/>
          <w:color w:val="000000" w:themeColor="text1"/>
          <w:sz w:val="24"/>
          <w:lang w:val="zh-CN"/>
          <w14:textFill>
            <w14:solidFill>
              <w14:schemeClr w14:val="tx1"/>
            </w14:solidFill>
          </w14:textFill>
        </w:rPr>
      </w:pPr>
    </w:p>
    <w:p w14:paraId="272E9E80">
      <w:pPr>
        <w:spacing w:line="400" w:lineRule="exact"/>
        <w:ind w:firstLine="540" w:firstLineChars="225"/>
        <w:rPr>
          <w:rFonts w:ascii="宋体" w:hAnsi="宋体"/>
          <w:bCs/>
          <w:color w:val="000000" w:themeColor="text1"/>
          <w:sz w:val="24"/>
          <w:lang w:val="zh-CN"/>
          <w14:textFill>
            <w14:solidFill>
              <w14:schemeClr w14:val="tx1"/>
            </w14:solidFill>
          </w14:textFill>
        </w:rPr>
      </w:pPr>
    </w:p>
    <w:p w14:paraId="19E55FC4">
      <w:pPr>
        <w:pStyle w:val="10"/>
        <w:ind w:left="900" w:hanging="480"/>
        <w:rPr>
          <w:rFonts w:ascii="宋体" w:hAnsi="宋体"/>
          <w:bCs/>
          <w:color w:val="000000" w:themeColor="text1"/>
          <w:sz w:val="24"/>
          <w:lang w:val="zh-CN"/>
          <w14:textFill>
            <w14:solidFill>
              <w14:schemeClr w14:val="tx1"/>
            </w14:solidFill>
          </w14:textFill>
        </w:rPr>
      </w:pPr>
    </w:p>
    <w:p w14:paraId="2A915F60">
      <w:pPr>
        <w:pStyle w:val="10"/>
        <w:ind w:left="900" w:hanging="480"/>
        <w:rPr>
          <w:rFonts w:ascii="宋体" w:hAnsi="宋体"/>
          <w:bCs/>
          <w:color w:val="000000" w:themeColor="text1"/>
          <w:sz w:val="24"/>
          <w:lang w:val="zh-CN"/>
          <w14:textFill>
            <w14:solidFill>
              <w14:schemeClr w14:val="tx1"/>
            </w14:solidFill>
          </w14:textFill>
        </w:rPr>
      </w:pPr>
    </w:p>
    <w:p w14:paraId="3536FB2B">
      <w:pPr>
        <w:pStyle w:val="10"/>
        <w:ind w:left="900" w:hanging="480"/>
        <w:rPr>
          <w:rFonts w:ascii="宋体" w:hAnsi="宋体"/>
          <w:bCs/>
          <w:color w:val="000000" w:themeColor="text1"/>
          <w:sz w:val="24"/>
          <w:lang w:val="zh-CN"/>
          <w14:textFill>
            <w14:solidFill>
              <w14:schemeClr w14:val="tx1"/>
            </w14:solidFill>
          </w14:textFill>
        </w:rPr>
      </w:pPr>
    </w:p>
    <w:p w14:paraId="6A0354D3">
      <w:pPr>
        <w:pStyle w:val="10"/>
        <w:ind w:left="900" w:hanging="480"/>
        <w:rPr>
          <w:rFonts w:ascii="宋体" w:hAnsi="宋体"/>
          <w:bCs/>
          <w:color w:val="000000" w:themeColor="text1"/>
          <w:sz w:val="24"/>
          <w:lang w:val="zh-CN"/>
          <w14:textFill>
            <w14:solidFill>
              <w14:schemeClr w14:val="tx1"/>
            </w14:solidFill>
          </w14:textFill>
        </w:rPr>
      </w:pPr>
    </w:p>
    <w:p w14:paraId="778B3BB3">
      <w:pPr>
        <w:pStyle w:val="10"/>
        <w:ind w:left="900" w:hanging="480"/>
        <w:rPr>
          <w:rFonts w:ascii="宋体" w:hAnsi="宋体"/>
          <w:bCs/>
          <w:color w:val="000000" w:themeColor="text1"/>
          <w:sz w:val="24"/>
          <w:lang w:val="zh-CN"/>
          <w14:textFill>
            <w14:solidFill>
              <w14:schemeClr w14:val="tx1"/>
            </w14:solidFill>
          </w14:textFill>
        </w:rPr>
      </w:pPr>
    </w:p>
    <w:p w14:paraId="33794D6F">
      <w:pPr>
        <w:pStyle w:val="10"/>
        <w:ind w:left="900" w:hanging="480"/>
        <w:rPr>
          <w:rFonts w:ascii="宋体" w:hAnsi="宋体"/>
          <w:bCs/>
          <w:color w:val="000000" w:themeColor="text1"/>
          <w:sz w:val="24"/>
          <w:lang w:val="zh-CN"/>
          <w14:textFill>
            <w14:solidFill>
              <w14:schemeClr w14:val="tx1"/>
            </w14:solidFill>
          </w14:textFill>
        </w:rPr>
      </w:pPr>
    </w:p>
    <w:p w14:paraId="3CFC729E">
      <w:pPr>
        <w:pStyle w:val="10"/>
        <w:ind w:left="900" w:hanging="480"/>
        <w:rPr>
          <w:rFonts w:ascii="宋体" w:hAnsi="宋体"/>
          <w:bCs/>
          <w:color w:val="000000" w:themeColor="text1"/>
          <w:sz w:val="24"/>
          <w:lang w:val="zh-CN"/>
          <w14:textFill>
            <w14:solidFill>
              <w14:schemeClr w14:val="tx1"/>
            </w14:solidFill>
          </w14:textFill>
        </w:rPr>
      </w:pPr>
    </w:p>
    <w:p w14:paraId="0749EB2E">
      <w:pPr>
        <w:pStyle w:val="10"/>
        <w:ind w:left="900" w:hanging="480"/>
        <w:rPr>
          <w:rFonts w:ascii="宋体" w:hAnsi="宋体"/>
          <w:bCs/>
          <w:color w:val="000000" w:themeColor="text1"/>
          <w:sz w:val="24"/>
          <w:lang w:val="zh-CN"/>
          <w14:textFill>
            <w14:solidFill>
              <w14:schemeClr w14:val="tx1"/>
            </w14:solidFill>
          </w14:textFill>
        </w:rPr>
      </w:pPr>
    </w:p>
    <w:p w14:paraId="0ABEF74E">
      <w:pPr>
        <w:pStyle w:val="10"/>
        <w:ind w:left="900" w:hanging="480"/>
        <w:rPr>
          <w:rFonts w:ascii="宋体" w:hAnsi="宋体"/>
          <w:bCs/>
          <w:color w:val="000000" w:themeColor="text1"/>
          <w:sz w:val="24"/>
          <w:lang w:val="zh-CN"/>
          <w14:textFill>
            <w14:solidFill>
              <w14:schemeClr w14:val="tx1"/>
            </w14:solidFill>
          </w14:textFill>
        </w:rPr>
      </w:pPr>
    </w:p>
    <w:p w14:paraId="2E4BE2CC">
      <w:pPr>
        <w:pStyle w:val="10"/>
        <w:ind w:left="900" w:hanging="480"/>
        <w:rPr>
          <w:rFonts w:ascii="宋体" w:hAnsi="宋体"/>
          <w:bCs/>
          <w:color w:val="000000" w:themeColor="text1"/>
          <w:sz w:val="24"/>
          <w:lang w:val="zh-CN"/>
          <w14:textFill>
            <w14:solidFill>
              <w14:schemeClr w14:val="tx1"/>
            </w14:solidFill>
          </w14:textFill>
        </w:rPr>
      </w:pPr>
    </w:p>
    <w:p w14:paraId="41703B3B">
      <w:pPr>
        <w:pStyle w:val="10"/>
        <w:ind w:left="900" w:hanging="480"/>
        <w:rPr>
          <w:rFonts w:ascii="宋体" w:hAnsi="宋体"/>
          <w:bCs/>
          <w:color w:val="000000" w:themeColor="text1"/>
          <w:sz w:val="24"/>
          <w:lang w:val="zh-CN"/>
          <w14:textFill>
            <w14:solidFill>
              <w14:schemeClr w14:val="tx1"/>
            </w14:solidFill>
          </w14:textFill>
        </w:rPr>
      </w:pPr>
    </w:p>
    <w:p w14:paraId="29032EA1">
      <w:pPr>
        <w:pStyle w:val="10"/>
        <w:ind w:left="900" w:hanging="480"/>
        <w:rPr>
          <w:rFonts w:ascii="宋体" w:hAnsi="宋体"/>
          <w:bCs/>
          <w:color w:val="000000" w:themeColor="text1"/>
          <w:sz w:val="24"/>
          <w:lang w:val="zh-CN"/>
          <w14:textFill>
            <w14:solidFill>
              <w14:schemeClr w14:val="tx1"/>
            </w14:solidFill>
          </w14:textFill>
        </w:rPr>
      </w:pPr>
    </w:p>
    <w:p w14:paraId="25B5E931">
      <w:pPr>
        <w:pStyle w:val="10"/>
        <w:ind w:left="900" w:hanging="480"/>
        <w:rPr>
          <w:rFonts w:hint="eastAsia" w:ascii="宋体" w:hAnsi="宋体"/>
          <w:bCs/>
          <w:color w:val="000000" w:themeColor="text1"/>
          <w:sz w:val="24"/>
          <w:lang w:val="zh-CN"/>
          <w14:textFill>
            <w14:solidFill>
              <w14:schemeClr w14:val="tx1"/>
            </w14:solidFill>
          </w14:textFill>
        </w:rPr>
      </w:pPr>
    </w:p>
    <w:p w14:paraId="00235118">
      <w:pPr>
        <w:pStyle w:val="10"/>
        <w:ind w:left="900" w:hanging="480"/>
        <w:rPr>
          <w:rFonts w:ascii="宋体" w:hAnsi="宋体"/>
          <w:bCs/>
          <w:color w:val="000000" w:themeColor="text1"/>
          <w:sz w:val="24"/>
          <w:lang w:val="zh-CN"/>
          <w14:textFill>
            <w14:solidFill>
              <w14:schemeClr w14:val="tx1"/>
            </w14:solidFill>
          </w14:textFill>
        </w:rPr>
      </w:pPr>
    </w:p>
    <w:p w14:paraId="5EE65C5F">
      <w:pPr>
        <w:pStyle w:val="10"/>
        <w:ind w:left="900" w:hanging="480"/>
        <w:rPr>
          <w:rFonts w:ascii="宋体" w:hAnsi="宋体"/>
          <w:bCs/>
          <w:color w:val="000000" w:themeColor="text1"/>
          <w:sz w:val="24"/>
          <w:lang w:val="zh-CN"/>
          <w14:textFill>
            <w14:solidFill>
              <w14:schemeClr w14:val="tx1"/>
            </w14:solidFill>
          </w14:textFill>
        </w:rPr>
      </w:pPr>
    </w:p>
    <w:p w14:paraId="1178A082">
      <w:pPr>
        <w:pStyle w:val="10"/>
        <w:ind w:left="0" w:leftChars="0" w:firstLine="0" w:firstLineChars="0"/>
        <w:rPr>
          <w:rFonts w:ascii="宋体" w:hAnsi="宋体"/>
          <w:bCs/>
          <w:color w:val="000000" w:themeColor="text1"/>
          <w:sz w:val="24"/>
          <w:lang w:val="zh-CN"/>
          <w14:textFill>
            <w14:solidFill>
              <w14:schemeClr w14:val="tx1"/>
            </w14:solidFill>
          </w14:textFill>
        </w:rPr>
      </w:pPr>
    </w:p>
    <w:p w14:paraId="0BDE5D24">
      <w:pPr>
        <w:spacing w:line="400" w:lineRule="exact"/>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第二部分  技术文件</w:t>
      </w:r>
    </w:p>
    <w:p w14:paraId="1B406065">
      <w:pPr>
        <w:spacing w:line="400" w:lineRule="exact"/>
        <w:jc w:val="center"/>
        <w:rPr>
          <w:rFonts w:ascii="宋体" w:hAnsi="宋体"/>
          <w:b/>
          <w:color w:val="000000" w:themeColor="text1"/>
          <w:sz w:val="30"/>
          <w:szCs w:val="30"/>
          <w14:textFill>
            <w14:solidFill>
              <w14:schemeClr w14:val="tx1"/>
            </w14:solidFill>
          </w14:textFill>
        </w:rPr>
      </w:pPr>
    </w:p>
    <w:p w14:paraId="5AEEBDFC">
      <w:pPr>
        <w:pStyle w:val="13"/>
        <w:adjustRightInd w:val="0"/>
        <w:snapToGrid w:val="0"/>
        <w:rPr>
          <w:rFonts w:hAnsi="宋体"/>
          <w:bCs/>
          <w:color w:val="000000" w:themeColor="text1"/>
          <w:sz w:val="24"/>
          <w14:textFill>
            <w14:solidFill>
              <w14:schemeClr w14:val="tx1"/>
            </w14:solidFill>
          </w14:textFill>
        </w:rPr>
      </w:pPr>
      <w:r>
        <w:rPr>
          <w:rFonts w:hint="eastAsia" w:hAnsi="宋体"/>
          <w:b/>
          <w:bCs/>
          <w:color w:val="000000" w:themeColor="text1"/>
          <w:sz w:val="32"/>
          <w:szCs w:val="32"/>
          <w14:textFill>
            <w14:solidFill>
              <w14:schemeClr w14:val="tx1"/>
            </w14:solidFill>
          </w14:textFill>
        </w:rPr>
        <w:t>1、技术条款偏离表</w:t>
      </w:r>
    </w:p>
    <w:p w14:paraId="407B8057">
      <w:pPr>
        <w:jc w:val="center"/>
        <w:rPr>
          <w:rFonts w:ascii="宋体" w:hAnsi="宋体"/>
          <w:color w:val="000000" w:themeColor="text1"/>
          <w:sz w:val="24"/>
          <w14:textFill>
            <w14:solidFill>
              <w14:schemeClr w14:val="tx1"/>
            </w14:solidFill>
          </w14:textFill>
        </w:rPr>
      </w:pPr>
    </w:p>
    <w:p w14:paraId="33E2A51F">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bCs/>
          <w:sz w:val="24"/>
          <w:lang w:val="zh-CN"/>
        </w:rPr>
        <w:t>新沂市第六中学教室监控设备项目</w:t>
      </w:r>
    </w:p>
    <w:p w14:paraId="3CD24833">
      <w:pPr>
        <w:rPr>
          <w:rFonts w:hint="eastAsia" w:ascii="宋体" w:hAnsi="宋体" w:eastAsia="宋体"/>
          <w:color w:val="000000" w:themeColor="text1"/>
          <w:sz w:val="24"/>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项目编号：</w:t>
      </w:r>
      <w:r>
        <w:rPr>
          <w:rFonts w:hint="eastAsia" w:ascii="宋体" w:hAnsi="宋体"/>
          <w:sz w:val="24"/>
          <w:highlight w:val="yellow"/>
        </w:rPr>
        <w:t>XYSGJZXYYSFW-202</w:t>
      </w:r>
      <w:r>
        <w:rPr>
          <w:rFonts w:hint="eastAsia" w:ascii="宋体" w:hAnsi="宋体"/>
          <w:sz w:val="24"/>
          <w:highlight w:val="yellow"/>
          <w:lang w:val="en-US" w:eastAsia="zh-CN"/>
        </w:rPr>
        <w:t>6</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60"/>
        <w:gridCol w:w="1260"/>
        <w:gridCol w:w="1260"/>
        <w:gridCol w:w="1800"/>
        <w:gridCol w:w="1260"/>
        <w:gridCol w:w="1620"/>
      </w:tblGrid>
      <w:tr w14:paraId="2992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57EE37C2">
            <w:pPr>
              <w:spacing w:line="48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序号</w:t>
            </w:r>
          </w:p>
        </w:tc>
        <w:tc>
          <w:tcPr>
            <w:tcW w:w="1260" w:type="dxa"/>
            <w:vAlign w:val="center"/>
          </w:tcPr>
          <w:p w14:paraId="10797E11">
            <w:pPr>
              <w:spacing w:line="48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技术条款名称</w:t>
            </w:r>
          </w:p>
        </w:tc>
        <w:tc>
          <w:tcPr>
            <w:tcW w:w="1260" w:type="dxa"/>
            <w:vAlign w:val="center"/>
          </w:tcPr>
          <w:p w14:paraId="1860B6F3">
            <w:pPr>
              <w:spacing w:line="480" w:lineRule="exact"/>
              <w:ind w:left="120" w:hanging="120" w:hangingChars="50"/>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谈判文件条目号</w:t>
            </w:r>
          </w:p>
        </w:tc>
        <w:tc>
          <w:tcPr>
            <w:tcW w:w="1260" w:type="dxa"/>
            <w:vAlign w:val="center"/>
          </w:tcPr>
          <w:p w14:paraId="643F5F01">
            <w:pPr>
              <w:spacing w:line="48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谈判文件要求的技术规格</w:t>
            </w:r>
          </w:p>
        </w:tc>
        <w:tc>
          <w:tcPr>
            <w:tcW w:w="1800" w:type="dxa"/>
            <w:vAlign w:val="center"/>
          </w:tcPr>
          <w:p w14:paraId="2DA8702D">
            <w:pPr>
              <w:spacing w:line="480" w:lineRule="exact"/>
              <w:ind w:firstLine="240" w:firstLineChars="1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谈判响应</w:t>
            </w:r>
          </w:p>
          <w:p w14:paraId="0C5057FC">
            <w:pPr>
              <w:spacing w:line="480" w:lineRule="exact"/>
              <w:ind w:firstLine="240" w:firstLineChars="1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技术规格</w:t>
            </w:r>
          </w:p>
        </w:tc>
        <w:tc>
          <w:tcPr>
            <w:tcW w:w="1260" w:type="dxa"/>
            <w:vAlign w:val="center"/>
          </w:tcPr>
          <w:p w14:paraId="34085037">
            <w:pPr>
              <w:spacing w:line="480" w:lineRule="exact"/>
              <w:ind w:firstLine="120" w:firstLineChars="50"/>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偏离情况</w:t>
            </w:r>
          </w:p>
        </w:tc>
        <w:tc>
          <w:tcPr>
            <w:tcW w:w="1620" w:type="dxa"/>
            <w:vAlign w:val="center"/>
          </w:tcPr>
          <w:p w14:paraId="3CB51C80">
            <w:pPr>
              <w:spacing w:line="480" w:lineRule="exact"/>
              <w:ind w:firstLine="240" w:firstLineChars="1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说  明</w:t>
            </w:r>
          </w:p>
        </w:tc>
      </w:tr>
      <w:tr w14:paraId="0EB0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1187AEDB">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592E7DA7">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1641109C">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66B5732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48134248">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B7AD62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0A19D7C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1160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72F2819C">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71425A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7474D0A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35C5D80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08913B84">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A4332F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75BD4C9E">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3169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6738955B">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1EF8792A">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D1318D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7BEDFE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09EEF44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3B00D2F">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7A55728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2ACC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1132C03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7562DBC8">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7E5A3A0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698133F7">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6E37CFCE">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290A1EB">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4CCA32DD">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2F33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07414AF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66A7372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BBFB35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106648B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037ABBC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143C61C8">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6C47D0B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2C6A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4436336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18492B0A">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79B60C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334776C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710ED1BA">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F6E4289">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4B28B4A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67D9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1D17217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C01554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38F5E4C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6577584">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7D0F673D">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3688A0C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70803CA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363A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0E01C133">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5CB20B4E">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5EF0D1D7">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699F470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6F795A0B">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487F85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541EBF3E">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500C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12966BE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CE7A0B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6BA0EE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7B382FE3">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168F360F">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3AC60F5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7EEAC810">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0CA7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0D0F76AA">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6B53C03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4152AAF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8D8FAAA">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0B276CAC">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E009312">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27DD831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r w14:paraId="78E8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tcPr>
          <w:p w14:paraId="1C3F594B">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215C6FB4">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8D24108">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795237B1">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800" w:type="dxa"/>
          </w:tcPr>
          <w:p w14:paraId="3444EAC6">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260" w:type="dxa"/>
          </w:tcPr>
          <w:p w14:paraId="0D42F673">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c>
          <w:tcPr>
            <w:tcW w:w="1620" w:type="dxa"/>
          </w:tcPr>
          <w:p w14:paraId="39DFB5D5">
            <w:pPr>
              <w:spacing w:line="480" w:lineRule="exact"/>
              <w:ind w:firstLine="480" w:firstLineChars="200"/>
              <w:rPr>
                <w:rFonts w:ascii="宋体" w:hAnsi="宋体" w:eastAsia="仿宋_GB2312"/>
                <w:bCs/>
                <w:color w:val="000000" w:themeColor="text1"/>
                <w:sz w:val="24"/>
                <w14:textFill>
                  <w14:solidFill>
                    <w14:schemeClr w14:val="tx1"/>
                  </w14:solidFill>
                </w14:textFill>
              </w:rPr>
            </w:pPr>
          </w:p>
        </w:tc>
      </w:tr>
    </w:tbl>
    <w:p w14:paraId="584D7406">
      <w:pPr>
        <w:rPr>
          <w:rFonts w:ascii="宋体" w:hAnsi="宋体"/>
          <w:color w:val="000000" w:themeColor="text1"/>
          <w:sz w:val="24"/>
          <w14:textFill>
            <w14:solidFill>
              <w14:schemeClr w14:val="tx1"/>
            </w14:solidFill>
          </w14:textFill>
        </w:rPr>
      </w:pPr>
    </w:p>
    <w:p w14:paraId="16CDF7C9">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注：供应商递交的谈判响应文件中与谈判文件的项目技术参数要求有不同时，应逐条列在偏离表中；无偏离的条款请勿填写；此表不填或空白的视为“所有技术条款无偏离”。</w:t>
      </w:r>
    </w:p>
    <w:p w14:paraId="51F60D0F">
      <w:pPr>
        <w:rPr>
          <w:rFonts w:ascii="宋体" w:hAnsi="宋体"/>
          <w:color w:val="000000" w:themeColor="text1"/>
          <w:sz w:val="24"/>
          <w:u w:val="single"/>
          <w14:textFill>
            <w14:solidFill>
              <w14:schemeClr w14:val="tx1"/>
            </w14:solidFill>
          </w14:textFill>
        </w:rPr>
      </w:pPr>
    </w:p>
    <w:p w14:paraId="3C4CEA55">
      <w:pPr>
        <w:ind w:firstLine="4080" w:firstLineChars="1700"/>
        <w:rPr>
          <w:rFonts w:ascii="宋体" w:hAnsi="宋体"/>
          <w:color w:val="000000" w:themeColor="text1"/>
          <w:sz w:val="24"/>
          <w14:textFill>
            <w14:solidFill>
              <w14:schemeClr w14:val="tx1"/>
            </w14:solidFill>
          </w14:textFill>
        </w:rPr>
      </w:pPr>
    </w:p>
    <w:p w14:paraId="62170AD4">
      <w:pPr>
        <w:ind w:firstLine="4080" w:firstLineChars="1700"/>
        <w:rPr>
          <w:rFonts w:ascii="宋体" w:hAnsi="宋体"/>
          <w:color w:val="000000" w:themeColor="text1"/>
          <w:sz w:val="24"/>
          <w14:textFill>
            <w14:solidFill>
              <w14:schemeClr w14:val="tx1"/>
            </w14:solidFill>
          </w14:textFill>
        </w:rPr>
      </w:pPr>
    </w:p>
    <w:p w14:paraId="1A24DB63">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供应商名称（公章）： </w:t>
      </w:r>
    </w:p>
    <w:p w14:paraId="3B17D3CE">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p>
    <w:p w14:paraId="00E3AF12">
      <w:pPr>
        <w:rPr>
          <w:rFonts w:ascii="宋体" w:hAns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0C3BFECF">
      <w:pPr>
        <w:rPr>
          <w:rFonts w:ascii="宋体" w:hAnsi="宋体"/>
          <w:color w:val="000000" w:themeColor="text1"/>
          <w:sz w:val="24"/>
          <w14:textFill>
            <w14:solidFill>
              <w14:schemeClr w14:val="tx1"/>
            </w14:solidFill>
          </w14:textFill>
        </w:rPr>
      </w:pPr>
    </w:p>
    <w:p w14:paraId="1D101B6D">
      <w:pPr>
        <w:spacing w:line="480" w:lineRule="exact"/>
        <w:rPr>
          <w:rFonts w:ascii="宋体"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日    期：</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年</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月</w:t>
      </w:r>
      <w:r>
        <w:rPr>
          <w:rFonts w:hint="eastAsia" w:hAnsi="宋体"/>
          <w:color w:val="000000" w:themeColor="text1"/>
          <w:sz w:val="24"/>
          <w:u w:val="single"/>
          <w14:textFill>
            <w14:solidFill>
              <w14:schemeClr w14:val="tx1"/>
            </w14:solidFill>
          </w14:textFill>
        </w:rPr>
        <w:t xml:space="preserve">   </w:t>
      </w:r>
      <w:r>
        <w:rPr>
          <w:rFonts w:hint="eastAsia" w:hAnsi="宋体"/>
          <w:color w:val="000000" w:themeColor="text1"/>
          <w:sz w:val="24"/>
          <w14:textFill>
            <w14:solidFill>
              <w14:schemeClr w14:val="tx1"/>
            </w14:solidFill>
          </w14:textFill>
        </w:rPr>
        <w:t>日</w:t>
      </w:r>
    </w:p>
    <w:p w14:paraId="288C0229">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63093BA3">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40CBA852">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07020DE6">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72D12770">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42BFC743">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7DD4871F">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02F8999F">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3F2F65C8">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p>
    <w:p w14:paraId="0057C160">
      <w:pPr>
        <w:spacing w:line="400" w:lineRule="exact"/>
        <w:ind w:left="151" w:hanging="151" w:hangingChars="50"/>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第三部分  商务文件</w:t>
      </w:r>
    </w:p>
    <w:p w14:paraId="7E31B470">
      <w:pPr>
        <w:spacing w:line="400" w:lineRule="exact"/>
        <w:ind w:firstLine="2861" w:firstLineChars="950"/>
        <w:rPr>
          <w:rFonts w:ascii="宋体" w:hAnsi="宋体"/>
          <w:b/>
          <w:color w:val="000000" w:themeColor="text1"/>
          <w:sz w:val="30"/>
          <w:szCs w:val="30"/>
          <w14:textFill>
            <w14:solidFill>
              <w14:schemeClr w14:val="tx1"/>
            </w14:solidFill>
          </w14:textFill>
        </w:rPr>
      </w:pPr>
    </w:p>
    <w:p w14:paraId="50B04A8F">
      <w:pPr>
        <w:spacing w:line="400" w:lineRule="exact"/>
        <w:jc w:val="left"/>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一、谈判委托</w:t>
      </w:r>
    </w:p>
    <w:p w14:paraId="6828F3DD">
      <w:pPr>
        <w:spacing w:line="400" w:lineRule="exact"/>
        <w:ind w:firstLine="141" w:firstLineChars="50"/>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（一）法定代表人身份证明文件</w:t>
      </w:r>
    </w:p>
    <w:p w14:paraId="6714641D">
      <w:pPr>
        <w:spacing w:line="40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（注：本证明文件及法定代表人身份证原件，要求法定代表人亲自参加谈判活动时提供。授权代表人出席谈判活动的勿需填写。）</w:t>
      </w:r>
    </w:p>
    <w:p w14:paraId="3AB84803">
      <w:pPr>
        <w:spacing w:line="400" w:lineRule="exact"/>
        <w:rPr>
          <w:rFonts w:ascii="宋体" w:hAnsi="宋体"/>
          <w:b/>
          <w:color w:val="000000" w:themeColor="text1"/>
          <w:sz w:val="28"/>
          <w:szCs w:val="28"/>
          <w14:textFill>
            <w14:solidFill>
              <w14:schemeClr w14:val="tx1"/>
            </w14:solidFill>
          </w14:textFill>
        </w:rPr>
      </w:pPr>
    </w:p>
    <w:p w14:paraId="6C9C39E1">
      <w:pPr>
        <w:spacing w:line="400" w:lineRule="exact"/>
        <w:rPr>
          <w:rFonts w:ascii="Microsoft YaHei ΢ȭхڢ  ڌ墠 ˎ̥" w:hAnsi="微软雅黑" w:eastAsia="Microsoft YaHei ΢ȭхڢ  ڌ墠 ˎ̥" w:cs="宋体"/>
          <w:color w:val="000000" w:themeColor="text1"/>
          <w:kern w:val="0"/>
          <w:sz w:val="14"/>
          <w:szCs w:val="14"/>
          <w14:textFill>
            <w14:solidFill>
              <w14:schemeClr w14:val="tx1"/>
            </w14:solidFill>
          </w14:textFill>
        </w:rPr>
      </w:pPr>
      <w:r>
        <w:rPr>
          <w:rFonts w:hint="eastAsia" w:ascii="宋体" w:hAnsi="宋体"/>
          <w:color w:val="000000" w:themeColor="text1"/>
          <w:sz w:val="24"/>
          <w14:textFill>
            <w14:solidFill>
              <w14:schemeClr w14:val="tx1"/>
            </w14:solidFill>
          </w14:textFill>
        </w:rPr>
        <w:t>新沂市第六中学：</w:t>
      </w:r>
    </w:p>
    <w:p w14:paraId="64147109">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（填法定代表人姓名）在（填本谈判单位名称）任（填写职务名称），是本公司的法定代表人。</w:t>
      </w:r>
    </w:p>
    <w:p w14:paraId="4054931F">
      <w:pPr>
        <w:spacing w:line="400" w:lineRule="exact"/>
        <w:ind w:firstLine="480" w:firstLineChars="200"/>
        <w:rPr>
          <w:rFonts w:ascii="宋体" w:hAnsi="宋体"/>
          <w:color w:val="000000" w:themeColor="text1"/>
          <w:sz w:val="24"/>
          <w14:textFill>
            <w14:solidFill>
              <w14:schemeClr w14:val="tx1"/>
            </w14:solidFill>
          </w14:textFill>
        </w:rPr>
      </w:pPr>
    </w:p>
    <w:p w14:paraId="29497C11">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p w14:paraId="2FF282F7">
      <w:pPr>
        <w:spacing w:line="400" w:lineRule="exact"/>
        <w:ind w:firstLine="480" w:firstLineChars="200"/>
        <w:rPr>
          <w:rFonts w:ascii="宋体" w:hAnsi="宋体"/>
          <w:color w:val="000000" w:themeColor="text1"/>
          <w:sz w:val="24"/>
          <w14:textFill>
            <w14:solidFill>
              <w14:schemeClr w14:val="tx1"/>
            </w14:solidFill>
          </w14:textFill>
        </w:rPr>
      </w:pPr>
    </w:p>
    <w:p w14:paraId="226F3F79">
      <w:pPr>
        <w:spacing w:line="400" w:lineRule="exact"/>
        <w:ind w:firstLine="480" w:firstLineChars="20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谈判单位地址：</w:t>
      </w:r>
    </w:p>
    <w:p w14:paraId="48A6A305">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谈判单位联系电话：</w:t>
      </w:r>
    </w:p>
    <w:p w14:paraId="5E6ECE63">
      <w:pPr>
        <w:spacing w:line="400" w:lineRule="exact"/>
        <w:ind w:firstLine="480" w:firstLineChars="20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法定代表人身份证号码：</w:t>
      </w:r>
    </w:p>
    <w:p w14:paraId="38A32DAA">
      <w:pPr>
        <w:spacing w:line="400" w:lineRule="exact"/>
        <w:ind w:firstLine="480" w:firstLineChars="20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法定代表人联系电话：</w:t>
      </w:r>
    </w:p>
    <w:p w14:paraId="27037198">
      <w:pPr>
        <w:spacing w:line="400" w:lineRule="exact"/>
        <w:ind w:firstLine="480" w:firstLineChars="200"/>
        <w:rPr>
          <w:rFonts w:ascii="宋体" w:hAnsi="宋体"/>
          <w:color w:val="000000" w:themeColor="text1"/>
          <w:sz w:val="24"/>
          <w14:textFill>
            <w14:solidFill>
              <w14:schemeClr w14:val="tx1"/>
            </w14:solidFill>
          </w14:textFill>
        </w:rPr>
      </w:pPr>
    </w:p>
    <w:p w14:paraId="021CA9D6">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附：法定代表人身份证复印件</w:t>
      </w:r>
    </w:p>
    <w:tbl>
      <w:tblPr>
        <w:tblStyle w:val="23"/>
        <w:tblW w:w="3430"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0"/>
      </w:tblGrid>
      <w:tr w14:paraId="1AEC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trPr>
        <w:tc>
          <w:tcPr>
            <w:tcW w:w="3430" w:type="dxa"/>
            <w:tcBorders>
              <w:top w:val="single" w:color="auto" w:sz="4" w:space="0"/>
              <w:left w:val="single" w:color="auto" w:sz="4" w:space="0"/>
              <w:bottom w:val="single" w:color="auto" w:sz="4" w:space="0"/>
              <w:right w:val="single" w:color="auto" w:sz="4" w:space="0"/>
            </w:tcBorders>
            <w:vAlign w:val="center"/>
          </w:tcPr>
          <w:p w14:paraId="178AEB54">
            <w:pPr>
              <w:spacing w:line="400" w:lineRule="exact"/>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身份证复印件粘贴处</w:t>
            </w:r>
          </w:p>
        </w:tc>
      </w:tr>
    </w:tbl>
    <w:p w14:paraId="4C23D5D3">
      <w:pPr>
        <w:spacing w:line="400" w:lineRule="exact"/>
        <w:rPr>
          <w:rFonts w:ascii="宋体" w:hAnsi="宋体"/>
          <w:color w:val="000000" w:themeColor="text1"/>
          <w:sz w:val="24"/>
          <w14:textFill>
            <w14:solidFill>
              <w14:schemeClr w14:val="tx1"/>
            </w14:solidFill>
          </w14:textFill>
        </w:rPr>
      </w:pPr>
    </w:p>
    <w:p w14:paraId="118EFF94">
      <w:pPr>
        <w:spacing w:line="400" w:lineRule="exact"/>
        <w:rPr>
          <w:rFonts w:ascii="宋体" w:hAnsi="宋体"/>
          <w:color w:val="000000" w:themeColor="text1"/>
          <w:sz w:val="24"/>
          <w14:textFill>
            <w14:solidFill>
              <w14:schemeClr w14:val="tx1"/>
            </w14:solidFill>
          </w14:textFill>
        </w:rPr>
      </w:pPr>
    </w:p>
    <w:p w14:paraId="4979564D">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供应商名称：（盖单位公章）</w:t>
      </w:r>
    </w:p>
    <w:p w14:paraId="6ABC8C66">
      <w:pPr>
        <w:spacing w:line="400" w:lineRule="exact"/>
        <w:rPr>
          <w:rFonts w:ascii="宋体" w:hAnsi="宋体"/>
          <w:color w:val="000000" w:themeColor="text1"/>
          <w:sz w:val="24"/>
          <w14:textFill>
            <w14:solidFill>
              <w14:schemeClr w14:val="tx1"/>
            </w14:solidFill>
          </w14:textFill>
        </w:rPr>
      </w:pPr>
    </w:p>
    <w:p w14:paraId="2A38FA70">
      <w:pPr>
        <w:spacing w:line="400" w:lineRule="exact"/>
        <w:ind w:firstLine="720" w:firstLineChars="3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年   月    日</w:t>
      </w:r>
    </w:p>
    <w:p w14:paraId="5F634672">
      <w:pPr>
        <w:spacing w:line="400" w:lineRule="exact"/>
        <w:rPr>
          <w:rFonts w:ascii="宋体" w:hAnsi="宋体"/>
          <w:color w:val="000000" w:themeColor="text1"/>
          <w:sz w:val="24"/>
          <w14:textFill>
            <w14:solidFill>
              <w14:schemeClr w14:val="tx1"/>
            </w14:solidFill>
          </w14:textFill>
        </w:rPr>
      </w:pPr>
    </w:p>
    <w:p w14:paraId="1D5E7902">
      <w:pPr>
        <w:spacing w:line="400" w:lineRule="exact"/>
        <w:rPr>
          <w:rFonts w:ascii="宋体" w:hAnsi="宋体"/>
          <w:color w:val="000000" w:themeColor="text1"/>
          <w:sz w:val="24"/>
          <w14:textFill>
            <w14:solidFill>
              <w14:schemeClr w14:val="tx1"/>
            </w14:solidFill>
          </w14:textFill>
        </w:rPr>
      </w:pPr>
    </w:p>
    <w:p w14:paraId="4C3ACE0C">
      <w:pPr>
        <w:spacing w:line="400" w:lineRule="exact"/>
        <w:ind w:firstLine="140" w:firstLineChars="50"/>
        <w:rPr>
          <w:rFonts w:ascii="宋体" w:hAnsi="宋体"/>
          <w:color w:val="000000" w:themeColor="text1"/>
          <w:sz w:val="28"/>
          <w:szCs w:val="28"/>
          <w14:textFill>
            <w14:solidFill>
              <w14:schemeClr w14:val="tx1"/>
            </w14:solidFill>
          </w14:textFill>
        </w:rPr>
      </w:pPr>
    </w:p>
    <w:p w14:paraId="1B8A144A">
      <w:pPr>
        <w:spacing w:line="400" w:lineRule="exact"/>
        <w:ind w:firstLine="140" w:firstLineChars="50"/>
        <w:rPr>
          <w:rFonts w:ascii="宋体" w:hAnsi="宋体"/>
          <w:b/>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br w:type="page"/>
      </w:r>
      <w:r>
        <w:rPr>
          <w:rFonts w:hint="eastAsia" w:ascii="宋体" w:hAnsi="宋体"/>
          <w:b/>
          <w:color w:val="000000" w:themeColor="text1"/>
          <w:sz w:val="28"/>
          <w:szCs w:val="28"/>
          <w14:textFill>
            <w14:solidFill>
              <w14:schemeClr w14:val="tx1"/>
            </w14:solidFill>
          </w14:textFill>
        </w:rPr>
        <w:t>（二）授权代表人身份证明文件</w:t>
      </w:r>
    </w:p>
    <w:p w14:paraId="2B5613EA">
      <w:pPr>
        <w:spacing w:line="400" w:lineRule="exact"/>
        <w:ind w:firstLine="120" w:firstLineChars="50"/>
        <w:rPr>
          <w:rFonts w:ascii="宋体" w:hAnsi="宋体"/>
          <w:color w:val="000000" w:themeColor="text1"/>
          <w:sz w:val="28"/>
          <w:szCs w:val="28"/>
          <w14:textFill>
            <w14:solidFill>
              <w14:schemeClr w14:val="tx1"/>
            </w14:solidFill>
          </w14:textFill>
        </w:rPr>
      </w:pPr>
      <w:r>
        <w:rPr>
          <w:rFonts w:hint="eastAsia" w:ascii="宋体" w:hAnsi="宋体"/>
          <w:b/>
          <w:color w:val="000000" w:themeColor="text1"/>
          <w:sz w:val="24"/>
          <w14:textFill>
            <w14:solidFill>
              <w14:schemeClr w14:val="tx1"/>
            </w14:solidFill>
          </w14:textFill>
        </w:rPr>
        <w:t>（注：以下材料及授权代表人身份证原件，要求授权代表人参加谈判活动时提供，法定代表人亲自出席谈判活动的勿需填写。）</w:t>
      </w:r>
    </w:p>
    <w:p w14:paraId="32FEC546">
      <w:pPr>
        <w:spacing w:line="400" w:lineRule="exact"/>
        <w:ind w:firstLine="2223" w:firstLineChars="79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法定代表人授权委托书</w:t>
      </w:r>
    </w:p>
    <w:p w14:paraId="0509410A">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新沂市第六中学：</w:t>
      </w:r>
    </w:p>
    <w:p w14:paraId="0CBF3C28">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本人</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（姓名、职务）系</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（供应商名称）的法定代表人，现委托</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（被授权人姓名）为我方代理人，以我公司名义在委托授权范围内处理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（填本谈判项目名称</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 w:val="24"/>
          <w14:textFill>
            <w14:solidFill>
              <w14:schemeClr w14:val="tx1"/>
            </w14:solidFill>
          </w14:textFill>
        </w:rPr>
        <w:t>项目的谈判事宜，其在本次谈判活动中所签订的一切文件和处理的与本次谈判有关的一切事项，本公司予以确认，其文件效力不因今后授权的撤销而失效。</w:t>
      </w:r>
    </w:p>
    <w:p w14:paraId="6557955D">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代理权限：签署、澄清、说明、补正、递交、撤回、修改</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Cs w:val="21"/>
          <w14:textFill>
            <w14:solidFill>
              <w14:schemeClr w14:val="tx1"/>
            </w14:solidFill>
          </w14:textFill>
        </w:rPr>
        <w:t>项目名称</w:t>
      </w:r>
      <w:r>
        <w:rPr>
          <w:rFonts w:hint="eastAsia" w:ascii="宋体" w:hAnsi="宋体"/>
          <w:color w:val="000000" w:themeColor="text1"/>
          <w:sz w:val="24"/>
          <w14:textFill>
            <w14:solidFill>
              <w14:schemeClr w14:val="tx1"/>
            </w14:solidFill>
          </w14:textFill>
        </w:rPr>
        <w:t>）谈判响应文件、签订合同，提出和处理质疑、投诉等有关事宜。</w:t>
      </w:r>
    </w:p>
    <w:p w14:paraId="362D2282">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委托期限自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日起至该项目合同签订之日止，本委托权为无转委托权。 </w:t>
      </w:r>
    </w:p>
    <w:p w14:paraId="7B848F07">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附：法定代表人身份证明</w:t>
      </w:r>
    </w:p>
    <w:tbl>
      <w:tblPr>
        <w:tblStyle w:val="23"/>
        <w:tblW w:w="3709"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9"/>
      </w:tblGrid>
      <w:tr w14:paraId="300E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trPr>
        <w:tc>
          <w:tcPr>
            <w:tcW w:w="3709" w:type="dxa"/>
            <w:tcBorders>
              <w:top w:val="single" w:color="auto" w:sz="4" w:space="0"/>
              <w:left w:val="single" w:color="auto" w:sz="4" w:space="0"/>
              <w:bottom w:val="single" w:color="auto" w:sz="4" w:space="0"/>
              <w:right w:val="single" w:color="auto" w:sz="4" w:space="0"/>
            </w:tcBorders>
            <w:vAlign w:val="center"/>
          </w:tcPr>
          <w:p w14:paraId="0B202A97">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法定代表人身份证复印件粘贴处</w:t>
            </w:r>
          </w:p>
        </w:tc>
      </w:tr>
    </w:tbl>
    <w:p w14:paraId="2C05EFE0">
      <w:pPr>
        <w:spacing w:line="400" w:lineRule="exact"/>
        <w:rPr>
          <w:rFonts w:ascii="宋体" w:hAnsi="宋体"/>
          <w:color w:val="000000" w:themeColor="text1"/>
          <w:sz w:val="24"/>
          <w14:textFill>
            <w14:solidFill>
              <w14:schemeClr w14:val="tx1"/>
            </w14:solidFill>
          </w14:textFill>
        </w:rPr>
      </w:pPr>
    </w:p>
    <w:p w14:paraId="4257EC6B">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供应商名称：（盖单位公章） </w:t>
      </w:r>
    </w:p>
    <w:p w14:paraId="35DF477F">
      <w:pPr>
        <w:spacing w:line="400" w:lineRule="exact"/>
        <w:rPr>
          <w:rFonts w:ascii="宋体" w:hAnsi="宋体"/>
          <w:color w:val="000000" w:themeColor="text1"/>
          <w:sz w:val="24"/>
          <w14:textFill>
            <w14:solidFill>
              <w14:schemeClr w14:val="tx1"/>
            </w14:solidFill>
          </w14:textFill>
        </w:rPr>
      </w:pPr>
    </w:p>
    <w:p w14:paraId="388157C5">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 （签字或盖章）</w:t>
      </w:r>
    </w:p>
    <w:p w14:paraId="57357265">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  托  人： （签字）</w:t>
      </w:r>
    </w:p>
    <w:p w14:paraId="599C4656">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附：受托人身份证明</w:t>
      </w:r>
    </w:p>
    <w:tbl>
      <w:tblPr>
        <w:tblStyle w:val="23"/>
        <w:tblW w:w="3705" w:type="dxa"/>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5"/>
      </w:tblGrid>
      <w:tr w14:paraId="124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3705" w:type="dxa"/>
            <w:tcBorders>
              <w:top w:val="single" w:color="auto" w:sz="4" w:space="0"/>
              <w:left w:val="single" w:color="auto" w:sz="4" w:space="0"/>
              <w:bottom w:val="single" w:color="auto" w:sz="4" w:space="0"/>
              <w:right w:val="single" w:color="auto" w:sz="4" w:space="0"/>
            </w:tcBorders>
            <w:vAlign w:val="center"/>
          </w:tcPr>
          <w:p w14:paraId="77232CAC">
            <w:pPr>
              <w:spacing w:line="400" w:lineRule="exact"/>
              <w:ind w:firstLine="360" w:firstLineChars="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受托人身份证复印件粘贴处</w:t>
            </w:r>
          </w:p>
        </w:tc>
      </w:tr>
    </w:tbl>
    <w:p w14:paraId="1E8D7F7B">
      <w:pPr>
        <w:spacing w:line="400" w:lineRule="exact"/>
        <w:rPr>
          <w:rFonts w:ascii="宋体" w:hAnsi="宋体"/>
          <w:b/>
          <w:color w:val="000000" w:themeColor="text1"/>
          <w:sz w:val="24"/>
          <w14:textFill>
            <w14:solidFill>
              <w14:schemeClr w14:val="tx1"/>
            </w14:solidFill>
          </w14:textFill>
        </w:rPr>
      </w:pPr>
    </w:p>
    <w:p w14:paraId="0E19E49F">
      <w:pPr>
        <w:spacing w:line="400" w:lineRule="exact"/>
        <w:ind w:firstLine="141" w:firstLineChars="50"/>
        <w:rPr>
          <w:rFonts w:ascii="宋体" w:hAnsi="宋体"/>
          <w:b/>
          <w:color w:val="000000" w:themeColor="text1"/>
          <w:sz w:val="28"/>
          <w:szCs w:val="28"/>
          <w14:textFill>
            <w14:solidFill>
              <w14:schemeClr w14:val="tx1"/>
            </w14:solidFill>
          </w14:textFill>
        </w:rPr>
      </w:pPr>
    </w:p>
    <w:p w14:paraId="69B340FE">
      <w:pPr>
        <w:spacing w:line="400" w:lineRule="exact"/>
        <w:ind w:firstLine="140" w:firstLineChars="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br w:type="page"/>
      </w:r>
      <w:r>
        <w:rPr>
          <w:rFonts w:hint="eastAsia" w:ascii="宋体" w:hAnsi="宋体"/>
          <w:b/>
          <w:color w:val="000000" w:themeColor="text1"/>
          <w:sz w:val="30"/>
          <w:szCs w:val="30"/>
          <w14:textFill>
            <w14:solidFill>
              <w14:schemeClr w14:val="tx1"/>
            </w14:solidFill>
          </w14:textFill>
        </w:rPr>
        <w:t>二、供应商基本情况表</w:t>
      </w:r>
    </w:p>
    <w:p w14:paraId="1D949C21">
      <w:pPr>
        <w:spacing w:line="400" w:lineRule="exact"/>
        <w:ind w:firstLine="137" w:firstLineChars="49"/>
        <w:jc w:val="righ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金额单位：万元</w:t>
      </w:r>
    </w:p>
    <w:tbl>
      <w:tblPr>
        <w:tblStyle w:val="23"/>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279"/>
        <w:gridCol w:w="1422"/>
        <w:gridCol w:w="1422"/>
        <w:gridCol w:w="1434"/>
        <w:gridCol w:w="1445"/>
      </w:tblGrid>
      <w:tr w14:paraId="717A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1526" w:type="dxa"/>
            <w:tcBorders>
              <w:top w:val="single" w:color="auto" w:sz="4" w:space="0"/>
              <w:left w:val="single" w:color="auto" w:sz="4" w:space="0"/>
              <w:bottom w:val="single" w:color="auto" w:sz="4" w:space="0"/>
              <w:right w:val="single" w:color="auto" w:sz="4" w:space="0"/>
            </w:tcBorders>
            <w:vAlign w:val="center"/>
          </w:tcPr>
          <w:p w14:paraId="39F05C24">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企业名称</w:t>
            </w:r>
          </w:p>
        </w:tc>
        <w:tc>
          <w:tcPr>
            <w:tcW w:w="7002" w:type="dxa"/>
            <w:gridSpan w:val="5"/>
            <w:tcBorders>
              <w:top w:val="single" w:color="auto" w:sz="4" w:space="0"/>
              <w:left w:val="single" w:color="auto" w:sz="4" w:space="0"/>
              <w:bottom w:val="single" w:color="auto" w:sz="4" w:space="0"/>
              <w:right w:val="single" w:color="auto" w:sz="4" w:space="0"/>
            </w:tcBorders>
            <w:vAlign w:val="center"/>
          </w:tcPr>
          <w:p w14:paraId="6633632F">
            <w:pPr>
              <w:spacing w:line="400" w:lineRule="exact"/>
              <w:rPr>
                <w:rFonts w:ascii="宋体" w:hAnsi="宋体"/>
                <w:bCs/>
                <w:color w:val="000000" w:themeColor="text1"/>
                <w:sz w:val="24"/>
                <w14:textFill>
                  <w14:solidFill>
                    <w14:schemeClr w14:val="tx1"/>
                  </w14:solidFill>
                </w14:textFill>
              </w:rPr>
            </w:pPr>
          </w:p>
        </w:tc>
      </w:tr>
      <w:tr w14:paraId="5E38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526" w:type="dxa"/>
            <w:tcBorders>
              <w:top w:val="single" w:color="auto" w:sz="4" w:space="0"/>
              <w:left w:val="single" w:color="auto" w:sz="4" w:space="0"/>
              <w:bottom w:val="single" w:color="auto" w:sz="4" w:space="0"/>
              <w:right w:val="single" w:color="auto" w:sz="4" w:space="0"/>
            </w:tcBorders>
            <w:vAlign w:val="center"/>
          </w:tcPr>
          <w:p w14:paraId="34AF7B8F">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地    址</w:t>
            </w:r>
          </w:p>
        </w:tc>
        <w:tc>
          <w:tcPr>
            <w:tcW w:w="7002" w:type="dxa"/>
            <w:gridSpan w:val="5"/>
            <w:tcBorders>
              <w:top w:val="single" w:color="auto" w:sz="4" w:space="0"/>
              <w:left w:val="single" w:color="auto" w:sz="4" w:space="0"/>
              <w:bottom w:val="single" w:color="auto" w:sz="4" w:space="0"/>
              <w:right w:val="single" w:color="auto" w:sz="4" w:space="0"/>
            </w:tcBorders>
            <w:vAlign w:val="center"/>
          </w:tcPr>
          <w:p w14:paraId="1E84626B">
            <w:pPr>
              <w:spacing w:line="400" w:lineRule="exact"/>
              <w:rPr>
                <w:rFonts w:ascii="宋体" w:hAnsi="宋体"/>
                <w:bCs/>
                <w:color w:val="000000" w:themeColor="text1"/>
                <w:sz w:val="24"/>
                <w14:textFill>
                  <w14:solidFill>
                    <w14:schemeClr w14:val="tx1"/>
                  </w14:solidFill>
                </w14:textFill>
              </w:rPr>
            </w:pPr>
          </w:p>
        </w:tc>
      </w:tr>
      <w:tr w14:paraId="0133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26" w:type="dxa"/>
            <w:tcBorders>
              <w:top w:val="single" w:color="auto" w:sz="4" w:space="0"/>
              <w:left w:val="single" w:color="auto" w:sz="4" w:space="0"/>
              <w:bottom w:val="single" w:color="auto" w:sz="4" w:space="0"/>
              <w:right w:val="single" w:color="auto" w:sz="4" w:space="0"/>
            </w:tcBorders>
            <w:vAlign w:val="center"/>
          </w:tcPr>
          <w:p w14:paraId="1AF380D8">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法定代表人</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6D845A81">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vAlign w:val="center"/>
          </w:tcPr>
          <w:p w14:paraId="12D80F2C">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单位电话</w:t>
            </w:r>
          </w:p>
        </w:tc>
        <w:tc>
          <w:tcPr>
            <w:tcW w:w="2879" w:type="dxa"/>
            <w:gridSpan w:val="2"/>
            <w:tcBorders>
              <w:top w:val="single" w:color="auto" w:sz="4" w:space="0"/>
              <w:left w:val="single" w:color="auto" w:sz="4" w:space="0"/>
              <w:bottom w:val="single" w:color="auto" w:sz="4" w:space="0"/>
              <w:right w:val="single" w:color="auto" w:sz="4" w:space="0"/>
            </w:tcBorders>
            <w:vAlign w:val="center"/>
          </w:tcPr>
          <w:p w14:paraId="77799101">
            <w:pPr>
              <w:spacing w:line="400" w:lineRule="exact"/>
              <w:rPr>
                <w:rFonts w:ascii="宋体" w:hAnsi="宋体"/>
                <w:bCs/>
                <w:color w:val="000000" w:themeColor="text1"/>
                <w:sz w:val="24"/>
                <w14:textFill>
                  <w14:solidFill>
                    <w14:schemeClr w14:val="tx1"/>
                  </w14:solidFill>
                </w14:textFill>
              </w:rPr>
            </w:pPr>
          </w:p>
        </w:tc>
      </w:tr>
      <w:tr w14:paraId="4147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526" w:type="dxa"/>
            <w:tcBorders>
              <w:top w:val="single" w:color="auto" w:sz="4" w:space="0"/>
              <w:left w:val="single" w:color="auto" w:sz="4" w:space="0"/>
              <w:bottom w:val="single" w:color="auto" w:sz="4" w:space="0"/>
              <w:right w:val="single" w:color="auto" w:sz="4" w:space="0"/>
            </w:tcBorders>
            <w:vAlign w:val="center"/>
          </w:tcPr>
          <w:p w14:paraId="1B42571C">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授权代表人</w:t>
            </w:r>
          </w:p>
        </w:tc>
        <w:tc>
          <w:tcPr>
            <w:tcW w:w="2701" w:type="dxa"/>
            <w:gridSpan w:val="2"/>
            <w:tcBorders>
              <w:top w:val="single" w:color="auto" w:sz="4" w:space="0"/>
              <w:left w:val="single" w:color="auto" w:sz="4" w:space="0"/>
              <w:bottom w:val="single" w:color="auto" w:sz="4" w:space="0"/>
              <w:right w:val="single" w:color="auto" w:sz="4" w:space="0"/>
            </w:tcBorders>
          </w:tcPr>
          <w:p w14:paraId="0E595C9B">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tcPr>
          <w:p w14:paraId="4A9198E9">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手机号码</w:t>
            </w:r>
          </w:p>
        </w:tc>
        <w:tc>
          <w:tcPr>
            <w:tcW w:w="2879" w:type="dxa"/>
            <w:gridSpan w:val="2"/>
            <w:tcBorders>
              <w:top w:val="single" w:color="auto" w:sz="4" w:space="0"/>
              <w:left w:val="single" w:color="auto" w:sz="4" w:space="0"/>
              <w:bottom w:val="single" w:color="auto" w:sz="4" w:space="0"/>
              <w:right w:val="single" w:color="auto" w:sz="4" w:space="0"/>
            </w:tcBorders>
          </w:tcPr>
          <w:p w14:paraId="70C7F773">
            <w:pPr>
              <w:spacing w:line="400" w:lineRule="exact"/>
              <w:rPr>
                <w:rFonts w:ascii="宋体" w:hAnsi="宋体"/>
                <w:bCs/>
                <w:color w:val="000000" w:themeColor="text1"/>
                <w:sz w:val="24"/>
                <w14:textFill>
                  <w14:solidFill>
                    <w14:schemeClr w14:val="tx1"/>
                  </w14:solidFill>
                </w14:textFill>
              </w:rPr>
            </w:pPr>
          </w:p>
        </w:tc>
      </w:tr>
      <w:tr w14:paraId="5111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6ECDBA6A">
            <w:pPr>
              <w:spacing w:line="400" w:lineRule="exact"/>
              <w:jc w:val="center"/>
              <w:rPr>
                <w:rFonts w:ascii="宋体" w:hAnsi="宋体"/>
                <w:bCs/>
                <w:color w:val="000000" w:themeColor="text1"/>
                <w:sz w:val="24"/>
                <w14:textFill>
                  <w14:solidFill>
                    <w14:schemeClr w14:val="tx1"/>
                  </w14:solidFill>
                </w14:textFill>
              </w:rPr>
            </w:pPr>
          </w:p>
          <w:p w14:paraId="53A9750C">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单</w:t>
            </w:r>
          </w:p>
          <w:p w14:paraId="68D62254">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位</w:t>
            </w:r>
          </w:p>
          <w:p w14:paraId="1F9CDBA4">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概</w:t>
            </w:r>
          </w:p>
          <w:p w14:paraId="1BBF2C90">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况</w:t>
            </w:r>
          </w:p>
        </w:tc>
        <w:tc>
          <w:tcPr>
            <w:tcW w:w="1279" w:type="dxa"/>
            <w:tcBorders>
              <w:top w:val="single" w:color="auto" w:sz="4" w:space="0"/>
              <w:left w:val="single" w:color="auto" w:sz="4" w:space="0"/>
              <w:bottom w:val="single" w:color="auto" w:sz="4" w:space="0"/>
              <w:right w:val="single" w:color="auto" w:sz="4" w:space="0"/>
            </w:tcBorders>
            <w:vAlign w:val="center"/>
          </w:tcPr>
          <w:p w14:paraId="5291757C">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注册资本</w:t>
            </w:r>
          </w:p>
        </w:tc>
        <w:tc>
          <w:tcPr>
            <w:tcW w:w="1422" w:type="dxa"/>
            <w:tcBorders>
              <w:top w:val="single" w:color="auto" w:sz="4" w:space="0"/>
              <w:left w:val="single" w:color="auto" w:sz="4" w:space="0"/>
              <w:bottom w:val="single" w:color="auto" w:sz="4" w:space="0"/>
              <w:right w:val="single" w:color="auto" w:sz="4" w:space="0"/>
            </w:tcBorders>
          </w:tcPr>
          <w:p w14:paraId="6BD602BD">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tcPr>
          <w:p w14:paraId="0593B3EE">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占地面积</w:t>
            </w:r>
          </w:p>
        </w:tc>
        <w:tc>
          <w:tcPr>
            <w:tcW w:w="2879" w:type="dxa"/>
            <w:gridSpan w:val="2"/>
            <w:tcBorders>
              <w:top w:val="single" w:color="auto" w:sz="4" w:space="0"/>
              <w:left w:val="single" w:color="auto" w:sz="4" w:space="0"/>
              <w:bottom w:val="single" w:color="auto" w:sz="4" w:space="0"/>
              <w:right w:val="single" w:color="auto" w:sz="4" w:space="0"/>
            </w:tcBorders>
          </w:tcPr>
          <w:p w14:paraId="0603B031">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              平方米</w:t>
            </w:r>
          </w:p>
        </w:tc>
      </w:tr>
      <w:tr w14:paraId="3246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2180164A">
            <w:pPr>
              <w:widowControl/>
              <w:jc w:val="left"/>
              <w:rPr>
                <w:rFonts w:ascii="宋体" w:hAnsi="宋体"/>
                <w:bCs/>
                <w:color w:val="000000" w:themeColor="text1"/>
                <w:sz w:val="24"/>
                <w14:textFill>
                  <w14:solidFill>
                    <w14:schemeClr w14:val="tx1"/>
                  </w14:solidFill>
                </w14:textFill>
              </w:rPr>
            </w:pPr>
          </w:p>
        </w:tc>
        <w:tc>
          <w:tcPr>
            <w:tcW w:w="1279" w:type="dxa"/>
            <w:tcBorders>
              <w:top w:val="single" w:color="auto" w:sz="4" w:space="0"/>
              <w:left w:val="single" w:color="auto" w:sz="4" w:space="0"/>
              <w:bottom w:val="single" w:color="auto" w:sz="4" w:space="0"/>
              <w:right w:val="single" w:color="auto" w:sz="4" w:space="0"/>
            </w:tcBorders>
            <w:vAlign w:val="center"/>
          </w:tcPr>
          <w:p w14:paraId="22B29156">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职工总数</w:t>
            </w:r>
          </w:p>
        </w:tc>
        <w:tc>
          <w:tcPr>
            <w:tcW w:w="1422" w:type="dxa"/>
            <w:tcBorders>
              <w:top w:val="single" w:color="auto" w:sz="4" w:space="0"/>
              <w:left w:val="single" w:color="auto" w:sz="4" w:space="0"/>
              <w:bottom w:val="single" w:color="auto" w:sz="4" w:space="0"/>
              <w:right w:val="single" w:color="auto" w:sz="4" w:space="0"/>
            </w:tcBorders>
          </w:tcPr>
          <w:p w14:paraId="5C6A1092">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       人</w:t>
            </w:r>
          </w:p>
        </w:tc>
        <w:tc>
          <w:tcPr>
            <w:tcW w:w="1422" w:type="dxa"/>
            <w:tcBorders>
              <w:top w:val="single" w:color="auto" w:sz="4" w:space="0"/>
              <w:left w:val="single" w:color="auto" w:sz="4" w:space="0"/>
              <w:bottom w:val="single" w:color="auto" w:sz="4" w:space="0"/>
              <w:right w:val="single" w:color="auto" w:sz="4" w:space="0"/>
            </w:tcBorders>
          </w:tcPr>
          <w:p w14:paraId="26E026C7">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建筑面积</w:t>
            </w:r>
          </w:p>
        </w:tc>
        <w:tc>
          <w:tcPr>
            <w:tcW w:w="2879" w:type="dxa"/>
            <w:gridSpan w:val="2"/>
            <w:tcBorders>
              <w:top w:val="single" w:color="auto" w:sz="4" w:space="0"/>
              <w:left w:val="single" w:color="auto" w:sz="4" w:space="0"/>
              <w:bottom w:val="single" w:color="auto" w:sz="4" w:space="0"/>
              <w:right w:val="single" w:color="auto" w:sz="4" w:space="0"/>
            </w:tcBorders>
          </w:tcPr>
          <w:p w14:paraId="336AC4A6">
            <w:pPr>
              <w:spacing w:line="400" w:lineRule="exact"/>
              <w:ind w:firstLine="1680" w:firstLineChars="7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平方米</w:t>
            </w:r>
          </w:p>
        </w:tc>
      </w:tr>
      <w:tr w14:paraId="484D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0FCACDA0">
            <w:pPr>
              <w:widowControl/>
              <w:jc w:val="left"/>
              <w:rPr>
                <w:rFonts w:ascii="宋体" w:hAnsi="宋体"/>
                <w:bCs/>
                <w:color w:val="000000" w:themeColor="text1"/>
                <w:sz w:val="24"/>
                <w14:textFill>
                  <w14:solidFill>
                    <w14:schemeClr w14:val="tx1"/>
                  </w14:solidFill>
                </w14:textFill>
              </w:rPr>
            </w:pPr>
          </w:p>
        </w:tc>
        <w:tc>
          <w:tcPr>
            <w:tcW w:w="1279" w:type="dxa"/>
            <w:vMerge w:val="restart"/>
            <w:tcBorders>
              <w:top w:val="single" w:color="auto" w:sz="4" w:space="0"/>
              <w:left w:val="single" w:color="auto" w:sz="4" w:space="0"/>
              <w:bottom w:val="single" w:color="auto" w:sz="4" w:space="0"/>
              <w:right w:val="single" w:color="auto" w:sz="4" w:space="0"/>
            </w:tcBorders>
            <w:vAlign w:val="center"/>
          </w:tcPr>
          <w:p w14:paraId="65F09435">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资产</w:t>
            </w:r>
          </w:p>
          <w:p w14:paraId="0BDE6AC0">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情况</w:t>
            </w:r>
          </w:p>
        </w:tc>
        <w:tc>
          <w:tcPr>
            <w:tcW w:w="2844" w:type="dxa"/>
            <w:gridSpan w:val="2"/>
            <w:tcBorders>
              <w:top w:val="single" w:color="auto" w:sz="4" w:space="0"/>
              <w:left w:val="single" w:color="auto" w:sz="4" w:space="0"/>
              <w:bottom w:val="single" w:color="auto" w:sz="4" w:space="0"/>
              <w:right w:val="single" w:color="auto" w:sz="4" w:space="0"/>
            </w:tcBorders>
            <w:vAlign w:val="center"/>
          </w:tcPr>
          <w:p w14:paraId="3CF4C785">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净资产：           </w:t>
            </w:r>
          </w:p>
        </w:tc>
        <w:tc>
          <w:tcPr>
            <w:tcW w:w="2879" w:type="dxa"/>
            <w:gridSpan w:val="2"/>
            <w:vMerge w:val="restart"/>
            <w:tcBorders>
              <w:top w:val="single" w:color="auto" w:sz="4" w:space="0"/>
              <w:left w:val="single" w:color="auto" w:sz="4" w:space="0"/>
              <w:bottom w:val="single" w:color="auto" w:sz="4" w:space="0"/>
              <w:right w:val="single" w:color="auto" w:sz="4" w:space="0"/>
            </w:tcBorders>
          </w:tcPr>
          <w:p w14:paraId="39559D58">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固定资产原值：     </w:t>
            </w:r>
          </w:p>
          <w:p w14:paraId="605F56B8">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固定资产净值：     </w:t>
            </w:r>
          </w:p>
        </w:tc>
      </w:tr>
      <w:tr w14:paraId="176D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5EC2133C">
            <w:pPr>
              <w:widowControl/>
              <w:jc w:val="left"/>
              <w:rPr>
                <w:rFonts w:ascii="宋体" w:hAnsi="宋体"/>
                <w:bCs/>
                <w:color w:val="000000" w:themeColor="text1"/>
                <w:sz w:val="24"/>
                <w14:textFill>
                  <w14:solidFill>
                    <w14:schemeClr w14:val="tx1"/>
                  </w14:solidFill>
                </w14:textFill>
              </w:rPr>
            </w:pPr>
          </w:p>
        </w:tc>
        <w:tc>
          <w:tcPr>
            <w:tcW w:w="1279" w:type="dxa"/>
            <w:vMerge w:val="continue"/>
            <w:tcBorders>
              <w:top w:val="single" w:color="auto" w:sz="4" w:space="0"/>
              <w:left w:val="single" w:color="auto" w:sz="4" w:space="0"/>
              <w:bottom w:val="single" w:color="auto" w:sz="4" w:space="0"/>
              <w:right w:val="single" w:color="auto" w:sz="4" w:space="0"/>
            </w:tcBorders>
            <w:vAlign w:val="center"/>
          </w:tcPr>
          <w:p w14:paraId="21E2040E">
            <w:pPr>
              <w:widowControl/>
              <w:jc w:val="left"/>
              <w:rPr>
                <w:rFonts w:ascii="宋体" w:hAnsi="宋体"/>
                <w:bCs/>
                <w:color w:val="000000" w:themeColor="text1"/>
                <w:sz w:val="24"/>
                <w14:textFill>
                  <w14:solidFill>
                    <w14:schemeClr w14:val="tx1"/>
                  </w14:solidFill>
                </w14:textFill>
              </w:rPr>
            </w:pPr>
          </w:p>
        </w:tc>
        <w:tc>
          <w:tcPr>
            <w:tcW w:w="2844" w:type="dxa"/>
            <w:gridSpan w:val="2"/>
            <w:tcBorders>
              <w:top w:val="single" w:color="auto" w:sz="4" w:space="0"/>
              <w:left w:val="single" w:color="auto" w:sz="4" w:space="0"/>
              <w:bottom w:val="single" w:color="auto" w:sz="4" w:space="0"/>
              <w:right w:val="single" w:color="auto" w:sz="4" w:space="0"/>
            </w:tcBorders>
            <w:vAlign w:val="center"/>
          </w:tcPr>
          <w:p w14:paraId="6329CE7A">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负  债：           </w:t>
            </w:r>
          </w:p>
        </w:tc>
        <w:tc>
          <w:tcPr>
            <w:tcW w:w="2879" w:type="dxa"/>
            <w:gridSpan w:val="2"/>
            <w:vMerge w:val="continue"/>
            <w:tcBorders>
              <w:top w:val="single" w:color="auto" w:sz="4" w:space="0"/>
              <w:left w:val="single" w:color="auto" w:sz="4" w:space="0"/>
              <w:bottom w:val="single" w:color="auto" w:sz="4" w:space="0"/>
              <w:right w:val="single" w:color="auto" w:sz="4" w:space="0"/>
            </w:tcBorders>
            <w:vAlign w:val="center"/>
          </w:tcPr>
          <w:p w14:paraId="6DF3F3D0">
            <w:pPr>
              <w:widowControl/>
              <w:jc w:val="left"/>
              <w:rPr>
                <w:rFonts w:ascii="宋体" w:hAnsi="宋体"/>
                <w:bCs/>
                <w:color w:val="000000" w:themeColor="text1"/>
                <w:sz w:val="24"/>
                <w14:textFill>
                  <w14:solidFill>
                    <w14:schemeClr w14:val="tx1"/>
                  </w14:solidFill>
                </w14:textFill>
              </w:rPr>
            </w:pPr>
          </w:p>
        </w:tc>
      </w:tr>
      <w:tr w14:paraId="62DD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526" w:type="dxa"/>
            <w:tcBorders>
              <w:top w:val="single" w:color="auto" w:sz="4" w:space="0"/>
              <w:left w:val="single" w:color="auto" w:sz="4" w:space="0"/>
              <w:bottom w:val="single" w:color="auto" w:sz="4" w:space="0"/>
              <w:right w:val="single" w:color="auto" w:sz="4" w:space="0"/>
            </w:tcBorders>
            <w:vAlign w:val="center"/>
          </w:tcPr>
          <w:p w14:paraId="42276B55">
            <w:pPr>
              <w:spacing w:line="400" w:lineRule="exact"/>
              <w:rPr>
                <w:rFonts w:ascii="宋体" w:hAnsi="宋体"/>
                <w:bCs/>
                <w:color w:val="000000" w:themeColor="text1"/>
                <w:sz w:val="24"/>
                <w14:textFill>
                  <w14:solidFill>
                    <w14:schemeClr w14:val="tx1"/>
                  </w14:solidFill>
                </w14:textFill>
              </w:rPr>
            </w:pPr>
          </w:p>
        </w:tc>
        <w:tc>
          <w:tcPr>
            <w:tcW w:w="1279" w:type="dxa"/>
            <w:tcBorders>
              <w:top w:val="single" w:color="auto" w:sz="4" w:space="0"/>
              <w:left w:val="single" w:color="auto" w:sz="4" w:space="0"/>
              <w:bottom w:val="single" w:color="auto" w:sz="4" w:space="0"/>
              <w:right w:val="single" w:color="auto" w:sz="4" w:space="0"/>
            </w:tcBorders>
          </w:tcPr>
          <w:p w14:paraId="280299B9">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vAlign w:val="center"/>
          </w:tcPr>
          <w:p w14:paraId="5D37BE98">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主营收入</w:t>
            </w:r>
          </w:p>
        </w:tc>
        <w:tc>
          <w:tcPr>
            <w:tcW w:w="1422" w:type="dxa"/>
            <w:tcBorders>
              <w:top w:val="single" w:color="auto" w:sz="4" w:space="0"/>
              <w:left w:val="single" w:color="auto" w:sz="4" w:space="0"/>
              <w:bottom w:val="single" w:color="auto" w:sz="4" w:space="0"/>
              <w:right w:val="single" w:color="auto" w:sz="4" w:space="0"/>
            </w:tcBorders>
            <w:vAlign w:val="center"/>
          </w:tcPr>
          <w:p w14:paraId="4EBABA63">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收入总额</w:t>
            </w:r>
          </w:p>
        </w:tc>
        <w:tc>
          <w:tcPr>
            <w:tcW w:w="1434" w:type="dxa"/>
            <w:tcBorders>
              <w:top w:val="single" w:color="auto" w:sz="4" w:space="0"/>
              <w:left w:val="single" w:color="auto" w:sz="4" w:space="0"/>
              <w:bottom w:val="single" w:color="auto" w:sz="4" w:space="0"/>
              <w:right w:val="single" w:color="auto" w:sz="4" w:space="0"/>
            </w:tcBorders>
            <w:vAlign w:val="center"/>
          </w:tcPr>
          <w:p w14:paraId="14370A69">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利润总额</w:t>
            </w:r>
          </w:p>
        </w:tc>
        <w:tc>
          <w:tcPr>
            <w:tcW w:w="1445" w:type="dxa"/>
            <w:tcBorders>
              <w:top w:val="single" w:color="auto" w:sz="4" w:space="0"/>
              <w:left w:val="single" w:color="auto" w:sz="4" w:space="0"/>
              <w:bottom w:val="single" w:color="auto" w:sz="4" w:space="0"/>
              <w:right w:val="single" w:color="auto" w:sz="4" w:space="0"/>
            </w:tcBorders>
            <w:vAlign w:val="center"/>
          </w:tcPr>
          <w:p w14:paraId="01543C58">
            <w:pPr>
              <w:spacing w:line="400" w:lineRule="exac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净利润</w:t>
            </w:r>
          </w:p>
        </w:tc>
      </w:tr>
      <w:tr w14:paraId="4BF4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51E2E28A">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财务状况</w:t>
            </w:r>
          </w:p>
          <w:p w14:paraId="2E31D30C">
            <w:pPr>
              <w:spacing w:line="400" w:lineRule="exact"/>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（最近2年）</w:t>
            </w:r>
          </w:p>
        </w:tc>
        <w:tc>
          <w:tcPr>
            <w:tcW w:w="1279" w:type="dxa"/>
            <w:tcBorders>
              <w:top w:val="single" w:color="auto" w:sz="4" w:space="0"/>
              <w:left w:val="single" w:color="auto" w:sz="4" w:space="0"/>
              <w:bottom w:val="single" w:color="auto" w:sz="4" w:space="0"/>
              <w:right w:val="single" w:color="auto" w:sz="4" w:space="0"/>
            </w:tcBorders>
            <w:vAlign w:val="center"/>
          </w:tcPr>
          <w:p w14:paraId="764BE644">
            <w:pPr>
              <w:spacing w:line="400" w:lineRule="exact"/>
              <w:ind w:left="720" w:hanging="720" w:hangingChars="3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       年</w:t>
            </w:r>
          </w:p>
        </w:tc>
        <w:tc>
          <w:tcPr>
            <w:tcW w:w="1422" w:type="dxa"/>
            <w:tcBorders>
              <w:top w:val="single" w:color="auto" w:sz="4" w:space="0"/>
              <w:left w:val="single" w:color="auto" w:sz="4" w:space="0"/>
              <w:bottom w:val="single" w:color="auto" w:sz="4" w:space="0"/>
              <w:right w:val="single" w:color="auto" w:sz="4" w:space="0"/>
            </w:tcBorders>
            <w:vAlign w:val="center"/>
          </w:tcPr>
          <w:p w14:paraId="440229BC">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vAlign w:val="center"/>
          </w:tcPr>
          <w:p w14:paraId="2EC70A4B">
            <w:pPr>
              <w:spacing w:line="400" w:lineRule="exact"/>
              <w:rPr>
                <w:rFonts w:ascii="宋体" w:hAnsi="宋体"/>
                <w:bCs/>
                <w:color w:val="000000" w:themeColor="text1"/>
                <w:sz w:val="24"/>
                <w14:textFill>
                  <w14:solidFill>
                    <w14:schemeClr w14:val="tx1"/>
                  </w14:solidFill>
                </w14:textFill>
              </w:rPr>
            </w:pPr>
          </w:p>
        </w:tc>
        <w:tc>
          <w:tcPr>
            <w:tcW w:w="1434" w:type="dxa"/>
            <w:tcBorders>
              <w:top w:val="single" w:color="auto" w:sz="4" w:space="0"/>
              <w:left w:val="single" w:color="auto" w:sz="4" w:space="0"/>
              <w:bottom w:val="single" w:color="auto" w:sz="4" w:space="0"/>
              <w:right w:val="single" w:color="auto" w:sz="4" w:space="0"/>
            </w:tcBorders>
            <w:vAlign w:val="center"/>
          </w:tcPr>
          <w:p w14:paraId="6FCE6164">
            <w:pPr>
              <w:spacing w:line="400" w:lineRule="exact"/>
              <w:rPr>
                <w:rFonts w:ascii="宋体" w:hAnsi="宋体"/>
                <w:bCs/>
                <w:color w:val="000000" w:themeColor="text1"/>
                <w:sz w:val="24"/>
                <w14:textFill>
                  <w14:solidFill>
                    <w14:schemeClr w14:val="tx1"/>
                  </w14:solidFill>
                </w14:textFill>
              </w:rPr>
            </w:pPr>
          </w:p>
        </w:tc>
        <w:tc>
          <w:tcPr>
            <w:tcW w:w="1445" w:type="dxa"/>
            <w:tcBorders>
              <w:top w:val="single" w:color="auto" w:sz="4" w:space="0"/>
              <w:left w:val="single" w:color="auto" w:sz="4" w:space="0"/>
              <w:bottom w:val="single" w:color="auto" w:sz="4" w:space="0"/>
              <w:right w:val="single" w:color="auto" w:sz="4" w:space="0"/>
            </w:tcBorders>
            <w:vAlign w:val="center"/>
          </w:tcPr>
          <w:p w14:paraId="19842ECC">
            <w:pPr>
              <w:spacing w:line="400" w:lineRule="exact"/>
              <w:rPr>
                <w:rFonts w:ascii="宋体" w:hAnsi="宋体"/>
                <w:bCs/>
                <w:color w:val="000000" w:themeColor="text1"/>
                <w:sz w:val="24"/>
                <w14:textFill>
                  <w14:solidFill>
                    <w14:schemeClr w14:val="tx1"/>
                  </w14:solidFill>
                </w14:textFill>
              </w:rPr>
            </w:pPr>
          </w:p>
        </w:tc>
      </w:tr>
      <w:tr w14:paraId="78DB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5776B325">
            <w:pPr>
              <w:widowControl/>
              <w:jc w:val="left"/>
              <w:rPr>
                <w:rFonts w:ascii="宋体" w:hAnsi="宋体"/>
                <w:bCs/>
                <w:color w:val="000000" w:themeColor="text1"/>
                <w:sz w:val="24"/>
                <w14:textFill>
                  <w14:solidFill>
                    <w14:schemeClr w14:val="tx1"/>
                  </w14:solidFill>
                </w14:textFill>
              </w:rPr>
            </w:pPr>
          </w:p>
        </w:tc>
        <w:tc>
          <w:tcPr>
            <w:tcW w:w="1279" w:type="dxa"/>
            <w:tcBorders>
              <w:top w:val="single" w:color="auto" w:sz="4" w:space="0"/>
              <w:left w:val="single" w:color="auto" w:sz="4" w:space="0"/>
              <w:bottom w:val="single" w:color="auto" w:sz="4" w:space="0"/>
              <w:right w:val="single" w:color="auto" w:sz="4" w:space="0"/>
            </w:tcBorders>
            <w:vAlign w:val="center"/>
          </w:tcPr>
          <w:p w14:paraId="2DB93FB6">
            <w:pPr>
              <w:spacing w:line="400" w:lineRule="exact"/>
              <w:ind w:left="720" w:hanging="720" w:hangingChars="3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       年</w:t>
            </w:r>
          </w:p>
        </w:tc>
        <w:tc>
          <w:tcPr>
            <w:tcW w:w="1422" w:type="dxa"/>
            <w:tcBorders>
              <w:top w:val="single" w:color="auto" w:sz="4" w:space="0"/>
              <w:left w:val="single" w:color="auto" w:sz="4" w:space="0"/>
              <w:bottom w:val="single" w:color="auto" w:sz="4" w:space="0"/>
              <w:right w:val="single" w:color="auto" w:sz="4" w:space="0"/>
            </w:tcBorders>
          </w:tcPr>
          <w:p w14:paraId="5C213A08">
            <w:pPr>
              <w:spacing w:line="400" w:lineRule="exact"/>
              <w:rPr>
                <w:rFonts w:ascii="宋体" w:hAnsi="宋体"/>
                <w:bCs/>
                <w:color w:val="000000" w:themeColor="text1"/>
                <w:sz w:val="24"/>
                <w14:textFill>
                  <w14:solidFill>
                    <w14:schemeClr w14:val="tx1"/>
                  </w14:solidFill>
                </w14:textFill>
              </w:rPr>
            </w:pPr>
          </w:p>
        </w:tc>
        <w:tc>
          <w:tcPr>
            <w:tcW w:w="1422" w:type="dxa"/>
            <w:tcBorders>
              <w:top w:val="single" w:color="auto" w:sz="4" w:space="0"/>
              <w:left w:val="single" w:color="auto" w:sz="4" w:space="0"/>
              <w:bottom w:val="single" w:color="auto" w:sz="4" w:space="0"/>
              <w:right w:val="single" w:color="auto" w:sz="4" w:space="0"/>
            </w:tcBorders>
          </w:tcPr>
          <w:p w14:paraId="29AA8FCF">
            <w:pPr>
              <w:spacing w:line="400" w:lineRule="exact"/>
              <w:rPr>
                <w:rFonts w:ascii="宋体" w:hAnsi="宋体"/>
                <w:bCs/>
                <w:color w:val="000000" w:themeColor="text1"/>
                <w:sz w:val="24"/>
                <w14:textFill>
                  <w14:solidFill>
                    <w14:schemeClr w14:val="tx1"/>
                  </w14:solidFill>
                </w14:textFill>
              </w:rPr>
            </w:pPr>
          </w:p>
        </w:tc>
        <w:tc>
          <w:tcPr>
            <w:tcW w:w="1434" w:type="dxa"/>
            <w:tcBorders>
              <w:top w:val="single" w:color="auto" w:sz="4" w:space="0"/>
              <w:left w:val="single" w:color="auto" w:sz="4" w:space="0"/>
              <w:bottom w:val="single" w:color="auto" w:sz="4" w:space="0"/>
              <w:right w:val="single" w:color="auto" w:sz="4" w:space="0"/>
            </w:tcBorders>
          </w:tcPr>
          <w:p w14:paraId="7A7BB34D">
            <w:pPr>
              <w:spacing w:line="400" w:lineRule="exact"/>
              <w:rPr>
                <w:rFonts w:ascii="宋体" w:hAnsi="宋体"/>
                <w:bCs/>
                <w:color w:val="000000" w:themeColor="text1"/>
                <w:sz w:val="24"/>
                <w14:textFill>
                  <w14:solidFill>
                    <w14:schemeClr w14:val="tx1"/>
                  </w14:solidFill>
                </w14:textFill>
              </w:rPr>
            </w:pPr>
          </w:p>
        </w:tc>
        <w:tc>
          <w:tcPr>
            <w:tcW w:w="1445" w:type="dxa"/>
            <w:tcBorders>
              <w:top w:val="single" w:color="auto" w:sz="4" w:space="0"/>
              <w:left w:val="single" w:color="auto" w:sz="4" w:space="0"/>
              <w:bottom w:val="single" w:color="auto" w:sz="4" w:space="0"/>
              <w:right w:val="single" w:color="auto" w:sz="4" w:space="0"/>
            </w:tcBorders>
          </w:tcPr>
          <w:p w14:paraId="43BD5BE5">
            <w:pPr>
              <w:spacing w:line="400" w:lineRule="exact"/>
              <w:rPr>
                <w:rFonts w:ascii="宋体" w:hAnsi="宋体"/>
                <w:bCs/>
                <w:color w:val="000000" w:themeColor="text1"/>
                <w:sz w:val="24"/>
                <w14:textFill>
                  <w14:solidFill>
                    <w14:schemeClr w14:val="tx1"/>
                  </w14:solidFill>
                </w14:textFill>
              </w:rPr>
            </w:pPr>
          </w:p>
        </w:tc>
      </w:tr>
    </w:tbl>
    <w:p w14:paraId="1E776268">
      <w:pPr>
        <w:spacing w:line="400" w:lineRule="exact"/>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我们保证上述声明中的资料和数据是真实的、正确的，我们同意如贵方要求，可以出示相关证明文件。</w:t>
      </w:r>
    </w:p>
    <w:p w14:paraId="0A1B7728">
      <w:pPr>
        <w:spacing w:line="400" w:lineRule="exact"/>
        <w:ind w:firstLine="480" w:firstLineChars="200"/>
        <w:rPr>
          <w:rFonts w:ascii="宋体" w:hAnsi="宋体"/>
          <w:bCs/>
          <w:color w:val="000000" w:themeColor="text1"/>
          <w:sz w:val="24"/>
          <w14:textFill>
            <w14:solidFill>
              <w14:schemeClr w14:val="tx1"/>
            </w14:solidFill>
          </w14:textFill>
        </w:rPr>
      </w:pPr>
    </w:p>
    <w:p w14:paraId="5191DFAE">
      <w:pPr>
        <w:spacing w:line="400" w:lineRule="exact"/>
        <w:rPr>
          <w:rFonts w:ascii="宋体" w:hAnsi="宋体"/>
          <w:color w:val="000000" w:themeColor="text1"/>
          <w:sz w:val="24"/>
          <w14:textFill>
            <w14:solidFill>
              <w14:schemeClr w14:val="tx1"/>
            </w14:solidFill>
          </w14:textFill>
        </w:rPr>
      </w:pPr>
    </w:p>
    <w:p w14:paraId="012811CB">
      <w:pPr>
        <w:spacing w:line="400" w:lineRule="exac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供应商名称（盖章）：</w:t>
      </w:r>
    </w:p>
    <w:p w14:paraId="47D6DCE3">
      <w:pPr>
        <w:spacing w:line="400" w:lineRule="exact"/>
        <w:rPr>
          <w:rFonts w:ascii="宋体" w:hAnsi="宋体"/>
          <w:color w:val="000000" w:themeColor="text1"/>
          <w:sz w:val="24"/>
          <w:u w:val="single"/>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7B016EAA">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日     期：   年  月  日 </w:t>
      </w:r>
    </w:p>
    <w:p w14:paraId="61D2FF79">
      <w:pPr>
        <w:spacing w:line="400" w:lineRule="exact"/>
        <w:rPr>
          <w:rFonts w:ascii="宋体" w:hAnsi="宋体"/>
          <w:b/>
          <w:color w:val="000000" w:themeColor="text1"/>
          <w:sz w:val="32"/>
          <w14:textFill>
            <w14:solidFill>
              <w14:schemeClr w14:val="tx1"/>
            </w14:solidFill>
          </w14:textFill>
        </w:rPr>
      </w:pPr>
      <w:r>
        <w:rPr>
          <w:rFonts w:hint="eastAsia" w:ascii="宋体" w:hAnsi="宋体"/>
          <w:color w:val="000000" w:themeColor="text1"/>
          <w:sz w:val="30"/>
          <w:szCs w:val="30"/>
          <w14:textFill>
            <w14:solidFill>
              <w14:schemeClr w14:val="tx1"/>
            </w14:solidFill>
          </w14:textFill>
        </w:rPr>
        <w:br w:type="page"/>
      </w:r>
      <w:r>
        <w:rPr>
          <w:rFonts w:hint="eastAsia" w:ascii="宋体" w:hAnsi="宋体"/>
          <w:b/>
          <w:color w:val="000000" w:themeColor="text1"/>
          <w:sz w:val="32"/>
          <w14:textFill>
            <w14:solidFill>
              <w14:schemeClr w14:val="tx1"/>
            </w14:solidFill>
          </w14:textFill>
        </w:rPr>
        <w:t>三、商务条款偏离表</w:t>
      </w:r>
    </w:p>
    <w:p w14:paraId="0E7DB765">
      <w:pPr>
        <w:spacing w:line="400" w:lineRule="exact"/>
        <w:rPr>
          <w:rFonts w:ascii="宋体" w:hAnsi="宋体"/>
          <w:b/>
          <w:color w:val="000000" w:themeColor="text1"/>
          <w:sz w:val="32"/>
          <w14:textFill>
            <w14:solidFill>
              <w14:schemeClr w14:val="tx1"/>
            </w14:solidFill>
          </w14:textFill>
        </w:rPr>
      </w:pPr>
    </w:p>
    <w:p w14:paraId="3BCED302">
      <w:pPr>
        <w:spacing w:line="400" w:lineRule="exact"/>
        <w:rPr>
          <w:rFonts w:ascii="宋体" w:hAnsi="宋体"/>
          <w:bCs/>
          <w:sz w:val="24"/>
          <w:lang w:val="zh-CN"/>
        </w:rPr>
      </w:pPr>
      <w:r>
        <w:rPr>
          <w:rFonts w:hint="eastAsia" w:ascii="宋体" w:hAnsi="宋体"/>
          <w:color w:val="000000" w:themeColor="text1"/>
          <w:sz w:val="24"/>
          <w14:textFill>
            <w14:solidFill>
              <w14:schemeClr w14:val="tx1"/>
            </w14:solidFill>
          </w14:textFill>
        </w:rPr>
        <w:t>项目名称：</w:t>
      </w:r>
      <w:r>
        <w:rPr>
          <w:rFonts w:hint="eastAsia" w:ascii="宋体" w:hAnsi="宋体"/>
          <w:bCs/>
          <w:sz w:val="24"/>
          <w:lang w:val="zh-CN"/>
        </w:rPr>
        <w:t>新沂市第六中学教室监控设备项目</w:t>
      </w:r>
    </w:p>
    <w:p w14:paraId="1E77217D">
      <w:pPr>
        <w:spacing w:line="400" w:lineRule="exact"/>
        <w:rPr>
          <w:rFonts w:hint="eastAsia" w:ascii="宋体" w:hAnsi="宋体" w:eastAsia="宋体"/>
          <w:color w:val="000000" w:themeColor="text1"/>
          <w:sz w:val="24"/>
          <w:u w:val="single"/>
          <w:lang w:val="en-US" w:eastAsia="zh-CN"/>
          <w14:textFill>
            <w14:solidFill>
              <w14:schemeClr w14:val="tx1"/>
            </w14:solidFill>
          </w14:textFill>
        </w:rPr>
      </w:pPr>
      <w:r>
        <w:rPr>
          <w:rFonts w:hint="eastAsia" w:ascii="宋体" w:hAnsi="宋体"/>
          <w:color w:val="000000" w:themeColor="text1"/>
          <w:sz w:val="24"/>
          <w14:textFill>
            <w14:solidFill>
              <w14:schemeClr w14:val="tx1"/>
            </w14:solidFill>
          </w14:textFill>
        </w:rPr>
        <w:t>项目编号：</w:t>
      </w:r>
      <w:r>
        <w:rPr>
          <w:rFonts w:hint="eastAsia" w:ascii="宋体" w:hAnsi="宋体"/>
          <w:sz w:val="24"/>
          <w:highlight w:val="yellow"/>
        </w:rPr>
        <w:t>XYSGJZXYYSFW-202</w:t>
      </w:r>
      <w:r>
        <w:rPr>
          <w:rFonts w:hint="eastAsia" w:ascii="宋体" w:hAnsi="宋体"/>
          <w:sz w:val="24"/>
          <w:highlight w:val="yellow"/>
          <w:lang w:val="en-US" w:eastAsia="zh-CN"/>
        </w:rPr>
        <w:t>6</w:t>
      </w:r>
    </w:p>
    <w:tbl>
      <w:tblPr>
        <w:tblStyle w:val="23"/>
        <w:tblW w:w="9261" w:type="dxa"/>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76"/>
        <w:gridCol w:w="2160"/>
        <w:gridCol w:w="2528"/>
        <w:gridCol w:w="2208"/>
        <w:gridCol w:w="1489"/>
      </w:tblGrid>
      <w:tr w14:paraId="264DEA3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trPr>
        <w:tc>
          <w:tcPr>
            <w:tcW w:w="876" w:type="dxa"/>
            <w:tcBorders>
              <w:top w:val="double" w:color="000000" w:sz="6" w:space="0"/>
              <w:left w:val="double" w:color="000000" w:sz="6" w:space="0"/>
              <w:bottom w:val="single" w:color="000000" w:sz="6" w:space="0"/>
              <w:right w:val="single" w:color="000000" w:sz="6" w:space="0"/>
            </w:tcBorders>
            <w:vAlign w:val="center"/>
          </w:tcPr>
          <w:p w14:paraId="7BFFDC4C">
            <w:pPr>
              <w:spacing w:line="400" w:lineRule="exact"/>
              <w:jc w:val="center"/>
              <w:rPr>
                <w:rFonts w:ascii="宋体" w:hAnsi="宋体"/>
                <w:caps/>
                <w:color w:val="000000" w:themeColor="text1"/>
                <w:sz w:val="24"/>
                <w14:textFill>
                  <w14:solidFill>
                    <w14:schemeClr w14:val="tx1"/>
                  </w14:solidFill>
                </w14:textFill>
              </w:rPr>
            </w:pPr>
            <w:r>
              <w:rPr>
                <w:rFonts w:hint="eastAsia" w:ascii="宋体" w:hAnsi="宋体"/>
                <w:caps/>
                <w:color w:val="000000" w:themeColor="text1"/>
                <w:sz w:val="24"/>
                <w14:textFill>
                  <w14:solidFill>
                    <w14:schemeClr w14:val="tx1"/>
                  </w14:solidFill>
                </w14:textFill>
              </w:rPr>
              <w:t>序号</w:t>
            </w:r>
          </w:p>
        </w:tc>
        <w:tc>
          <w:tcPr>
            <w:tcW w:w="2160" w:type="dxa"/>
            <w:tcBorders>
              <w:top w:val="double" w:color="000000" w:sz="6" w:space="0"/>
              <w:left w:val="single" w:color="000000" w:sz="6" w:space="0"/>
              <w:bottom w:val="single" w:color="000000" w:sz="6" w:space="0"/>
              <w:right w:val="single" w:color="000000" w:sz="6" w:space="0"/>
            </w:tcBorders>
            <w:vAlign w:val="center"/>
          </w:tcPr>
          <w:p w14:paraId="375A9694">
            <w:pPr>
              <w:spacing w:line="400" w:lineRule="exact"/>
              <w:jc w:val="center"/>
              <w:rPr>
                <w:rFonts w:ascii="宋体" w:hAnsi="宋体"/>
                <w:caps/>
                <w:color w:val="000000" w:themeColor="text1"/>
                <w:sz w:val="24"/>
                <w14:textFill>
                  <w14:solidFill>
                    <w14:schemeClr w14:val="tx1"/>
                  </w14:solidFill>
                </w14:textFill>
              </w:rPr>
            </w:pPr>
            <w:r>
              <w:rPr>
                <w:rFonts w:hint="eastAsia" w:ascii="宋体" w:hAnsi="宋体"/>
                <w:caps/>
                <w:color w:val="000000" w:themeColor="text1"/>
                <w:sz w:val="24"/>
                <w14:textFill>
                  <w14:solidFill>
                    <w14:schemeClr w14:val="tx1"/>
                  </w14:solidFill>
                </w14:textFill>
              </w:rPr>
              <w:t>谈判文件的内容</w:t>
            </w:r>
          </w:p>
        </w:tc>
        <w:tc>
          <w:tcPr>
            <w:tcW w:w="2528" w:type="dxa"/>
            <w:tcBorders>
              <w:top w:val="double" w:color="000000" w:sz="6" w:space="0"/>
              <w:left w:val="single" w:color="000000" w:sz="6" w:space="0"/>
              <w:bottom w:val="single" w:color="000000" w:sz="6" w:space="0"/>
              <w:right w:val="single" w:color="000000" w:sz="6" w:space="0"/>
            </w:tcBorders>
            <w:vAlign w:val="center"/>
          </w:tcPr>
          <w:p w14:paraId="28DAAF79">
            <w:pPr>
              <w:spacing w:line="400" w:lineRule="exact"/>
              <w:jc w:val="center"/>
              <w:rPr>
                <w:rFonts w:ascii="宋体" w:hAnsi="宋体"/>
                <w:caps/>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谈判响应文件</w:t>
            </w:r>
            <w:r>
              <w:rPr>
                <w:rFonts w:hint="eastAsia" w:ascii="宋体" w:hAnsi="宋体"/>
                <w:caps/>
                <w:color w:val="000000" w:themeColor="text1"/>
                <w:sz w:val="24"/>
                <w14:textFill>
                  <w14:solidFill>
                    <w14:schemeClr w14:val="tx1"/>
                  </w14:solidFill>
                </w14:textFill>
              </w:rPr>
              <w:t>的内容</w:t>
            </w:r>
          </w:p>
        </w:tc>
        <w:tc>
          <w:tcPr>
            <w:tcW w:w="2208" w:type="dxa"/>
            <w:tcBorders>
              <w:top w:val="double" w:color="000000" w:sz="6" w:space="0"/>
              <w:left w:val="single" w:color="000000" w:sz="6" w:space="0"/>
              <w:bottom w:val="single" w:color="000000" w:sz="6" w:space="0"/>
              <w:right w:val="single" w:color="000000" w:sz="6" w:space="0"/>
            </w:tcBorders>
            <w:vAlign w:val="center"/>
          </w:tcPr>
          <w:p w14:paraId="435367A5">
            <w:pPr>
              <w:spacing w:line="400" w:lineRule="exact"/>
              <w:jc w:val="center"/>
              <w:rPr>
                <w:rFonts w:ascii="宋体" w:hAnsi="宋体"/>
                <w:caps/>
                <w:color w:val="000000" w:themeColor="text1"/>
                <w:sz w:val="24"/>
                <w14:textFill>
                  <w14:solidFill>
                    <w14:schemeClr w14:val="tx1"/>
                  </w14:solidFill>
                </w14:textFill>
              </w:rPr>
            </w:pPr>
            <w:r>
              <w:rPr>
                <w:rFonts w:hint="eastAsia" w:ascii="宋体" w:hAnsi="宋体"/>
                <w:caps/>
                <w:color w:val="000000" w:themeColor="text1"/>
                <w:sz w:val="24"/>
                <w14:textFill>
                  <w14:solidFill>
                    <w14:schemeClr w14:val="tx1"/>
                  </w14:solidFill>
                </w14:textFill>
              </w:rPr>
              <w:t>偏离</w:t>
            </w:r>
          </w:p>
        </w:tc>
        <w:tc>
          <w:tcPr>
            <w:tcW w:w="1489" w:type="dxa"/>
            <w:tcBorders>
              <w:top w:val="double" w:color="000000" w:sz="6" w:space="0"/>
              <w:left w:val="single" w:color="000000" w:sz="6" w:space="0"/>
              <w:bottom w:val="single" w:color="000000" w:sz="6" w:space="0"/>
              <w:right w:val="double" w:color="000000" w:sz="6" w:space="0"/>
            </w:tcBorders>
            <w:vAlign w:val="center"/>
          </w:tcPr>
          <w:p w14:paraId="66D19621">
            <w:pPr>
              <w:spacing w:line="400" w:lineRule="exact"/>
              <w:jc w:val="center"/>
              <w:rPr>
                <w:rFonts w:ascii="宋体" w:hAnsi="宋体"/>
                <w:caps/>
                <w:color w:val="000000" w:themeColor="text1"/>
                <w:sz w:val="24"/>
                <w14:textFill>
                  <w14:solidFill>
                    <w14:schemeClr w14:val="tx1"/>
                  </w14:solidFill>
                </w14:textFill>
              </w:rPr>
            </w:pPr>
            <w:r>
              <w:rPr>
                <w:rFonts w:hint="eastAsia" w:ascii="宋体" w:hAnsi="宋体"/>
                <w:caps/>
                <w:color w:val="000000" w:themeColor="text1"/>
                <w:sz w:val="24"/>
                <w14:textFill>
                  <w14:solidFill>
                    <w14:schemeClr w14:val="tx1"/>
                  </w14:solidFill>
                </w14:textFill>
              </w:rPr>
              <w:t>说明</w:t>
            </w:r>
          </w:p>
        </w:tc>
      </w:tr>
      <w:tr w14:paraId="17F24C3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single" w:color="000000" w:sz="6" w:space="0"/>
              <w:right w:val="single" w:color="000000" w:sz="6" w:space="0"/>
            </w:tcBorders>
          </w:tcPr>
          <w:p w14:paraId="5440BD8E">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single" w:color="000000" w:sz="6" w:space="0"/>
              <w:right w:val="single" w:color="000000" w:sz="6" w:space="0"/>
            </w:tcBorders>
          </w:tcPr>
          <w:p w14:paraId="63F6F8BB">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single" w:color="000000" w:sz="6" w:space="0"/>
              <w:right w:val="single" w:color="000000" w:sz="6" w:space="0"/>
            </w:tcBorders>
          </w:tcPr>
          <w:p w14:paraId="66F87476">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single" w:color="000000" w:sz="6" w:space="0"/>
              <w:right w:val="single" w:color="000000" w:sz="6" w:space="0"/>
            </w:tcBorders>
          </w:tcPr>
          <w:p w14:paraId="7827D37C">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single" w:color="000000" w:sz="6" w:space="0"/>
              <w:right w:val="double" w:color="000000" w:sz="6" w:space="0"/>
            </w:tcBorders>
          </w:tcPr>
          <w:p w14:paraId="5C85362D">
            <w:pPr>
              <w:spacing w:line="400" w:lineRule="exact"/>
              <w:rPr>
                <w:rFonts w:ascii="宋体" w:hAnsi="宋体"/>
                <w:color w:val="000000" w:themeColor="text1"/>
                <w:sz w:val="24"/>
                <w14:textFill>
                  <w14:solidFill>
                    <w14:schemeClr w14:val="tx1"/>
                  </w14:solidFill>
                </w14:textFill>
              </w:rPr>
            </w:pPr>
          </w:p>
        </w:tc>
      </w:tr>
      <w:tr w14:paraId="1A368D5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single" w:color="000000" w:sz="6" w:space="0"/>
              <w:right w:val="single" w:color="000000" w:sz="6" w:space="0"/>
            </w:tcBorders>
          </w:tcPr>
          <w:p w14:paraId="163AAB82">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single" w:color="000000" w:sz="6" w:space="0"/>
              <w:right w:val="single" w:color="000000" w:sz="6" w:space="0"/>
            </w:tcBorders>
          </w:tcPr>
          <w:p w14:paraId="39888C85">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single" w:color="000000" w:sz="6" w:space="0"/>
              <w:right w:val="single" w:color="000000" w:sz="6" w:space="0"/>
            </w:tcBorders>
          </w:tcPr>
          <w:p w14:paraId="18EDD4A1">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single" w:color="000000" w:sz="6" w:space="0"/>
              <w:right w:val="single" w:color="000000" w:sz="6" w:space="0"/>
            </w:tcBorders>
          </w:tcPr>
          <w:p w14:paraId="36D303AC">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single" w:color="000000" w:sz="6" w:space="0"/>
              <w:right w:val="double" w:color="000000" w:sz="6" w:space="0"/>
            </w:tcBorders>
          </w:tcPr>
          <w:p w14:paraId="6E3C61A6">
            <w:pPr>
              <w:spacing w:line="400" w:lineRule="exact"/>
              <w:rPr>
                <w:rFonts w:ascii="宋体" w:hAnsi="宋体"/>
                <w:color w:val="000000" w:themeColor="text1"/>
                <w:sz w:val="24"/>
                <w14:textFill>
                  <w14:solidFill>
                    <w14:schemeClr w14:val="tx1"/>
                  </w14:solidFill>
                </w14:textFill>
              </w:rPr>
            </w:pPr>
          </w:p>
        </w:tc>
      </w:tr>
      <w:tr w14:paraId="4228F5D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single" w:color="000000" w:sz="6" w:space="0"/>
              <w:right w:val="single" w:color="000000" w:sz="6" w:space="0"/>
            </w:tcBorders>
          </w:tcPr>
          <w:p w14:paraId="0F849BE5">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single" w:color="000000" w:sz="6" w:space="0"/>
              <w:right w:val="single" w:color="000000" w:sz="6" w:space="0"/>
            </w:tcBorders>
          </w:tcPr>
          <w:p w14:paraId="7A030454">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single" w:color="000000" w:sz="6" w:space="0"/>
              <w:right w:val="single" w:color="000000" w:sz="6" w:space="0"/>
            </w:tcBorders>
          </w:tcPr>
          <w:p w14:paraId="7AB2405E">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single" w:color="000000" w:sz="6" w:space="0"/>
              <w:right w:val="single" w:color="000000" w:sz="6" w:space="0"/>
            </w:tcBorders>
          </w:tcPr>
          <w:p w14:paraId="2566176A">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single" w:color="000000" w:sz="6" w:space="0"/>
              <w:right w:val="double" w:color="000000" w:sz="6" w:space="0"/>
            </w:tcBorders>
          </w:tcPr>
          <w:p w14:paraId="041E1571">
            <w:pPr>
              <w:spacing w:line="400" w:lineRule="exact"/>
              <w:rPr>
                <w:rFonts w:ascii="宋体" w:hAnsi="宋体"/>
                <w:color w:val="000000" w:themeColor="text1"/>
                <w:sz w:val="24"/>
                <w14:textFill>
                  <w14:solidFill>
                    <w14:schemeClr w14:val="tx1"/>
                  </w14:solidFill>
                </w14:textFill>
              </w:rPr>
            </w:pPr>
          </w:p>
        </w:tc>
      </w:tr>
      <w:tr w14:paraId="107D555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single" w:color="000000" w:sz="6" w:space="0"/>
              <w:right w:val="single" w:color="000000" w:sz="6" w:space="0"/>
            </w:tcBorders>
          </w:tcPr>
          <w:p w14:paraId="3866251A">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single" w:color="000000" w:sz="6" w:space="0"/>
              <w:right w:val="single" w:color="000000" w:sz="6" w:space="0"/>
            </w:tcBorders>
          </w:tcPr>
          <w:p w14:paraId="44B398C6">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single" w:color="000000" w:sz="6" w:space="0"/>
              <w:right w:val="single" w:color="000000" w:sz="6" w:space="0"/>
            </w:tcBorders>
          </w:tcPr>
          <w:p w14:paraId="17313899">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single" w:color="000000" w:sz="6" w:space="0"/>
              <w:right w:val="single" w:color="000000" w:sz="6" w:space="0"/>
            </w:tcBorders>
          </w:tcPr>
          <w:p w14:paraId="3E7A7797">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single" w:color="000000" w:sz="6" w:space="0"/>
              <w:right w:val="double" w:color="000000" w:sz="6" w:space="0"/>
            </w:tcBorders>
          </w:tcPr>
          <w:p w14:paraId="255A6C22">
            <w:pPr>
              <w:spacing w:line="400" w:lineRule="exact"/>
              <w:rPr>
                <w:rFonts w:ascii="宋体" w:hAnsi="宋体"/>
                <w:color w:val="000000" w:themeColor="text1"/>
                <w:sz w:val="24"/>
                <w14:textFill>
                  <w14:solidFill>
                    <w14:schemeClr w14:val="tx1"/>
                  </w14:solidFill>
                </w14:textFill>
              </w:rPr>
            </w:pPr>
          </w:p>
        </w:tc>
      </w:tr>
      <w:tr w14:paraId="687C200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single" w:color="000000" w:sz="6" w:space="0"/>
              <w:right w:val="single" w:color="000000" w:sz="6" w:space="0"/>
            </w:tcBorders>
          </w:tcPr>
          <w:p w14:paraId="2A97D350">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single" w:color="000000" w:sz="6" w:space="0"/>
              <w:right w:val="single" w:color="000000" w:sz="6" w:space="0"/>
            </w:tcBorders>
          </w:tcPr>
          <w:p w14:paraId="113556D9">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single" w:color="000000" w:sz="6" w:space="0"/>
              <w:right w:val="single" w:color="000000" w:sz="6" w:space="0"/>
            </w:tcBorders>
          </w:tcPr>
          <w:p w14:paraId="5921EDA0">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single" w:color="000000" w:sz="6" w:space="0"/>
              <w:right w:val="single" w:color="000000" w:sz="6" w:space="0"/>
            </w:tcBorders>
          </w:tcPr>
          <w:p w14:paraId="49325E86">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single" w:color="000000" w:sz="6" w:space="0"/>
              <w:right w:val="double" w:color="000000" w:sz="6" w:space="0"/>
            </w:tcBorders>
          </w:tcPr>
          <w:p w14:paraId="70EAFB8C">
            <w:pPr>
              <w:spacing w:line="400" w:lineRule="exact"/>
              <w:rPr>
                <w:rFonts w:ascii="宋体" w:hAnsi="宋体"/>
                <w:color w:val="000000" w:themeColor="text1"/>
                <w:sz w:val="24"/>
                <w14:textFill>
                  <w14:solidFill>
                    <w14:schemeClr w14:val="tx1"/>
                  </w14:solidFill>
                </w14:textFill>
              </w:rPr>
            </w:pPr>
          </w:p>
        </w:tc>
      </w:tr>
      <w:tr w14:paraId="2C06212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876" w:type="dxa"/>
            <w:tcBorders>
              <w:top w:val="single" w:color="000000" w:sz="6" w:space="0"/>
              <w:left w:val="double" w:color="000000" w:sz="6" w:space="0"/>
              <w:bottom w:val="double" w:color="000000" w:sz="6" w:space="0"/>
              <w:right w:val="single" w:color="000000" w:sz="6" w:space="0"/>
            </w:tcBorders>
          </w:tcPr>
          <w:p w14:paraId="45D6B687">
            <w:pPr>
              <w:spacing w:line="400" w:lineRule="exact"/>
              <w:rPr>
                <w:rFonts w:ascii="宋体" w:hAnsi="宋体"/>
                <w:color w:val="000000" w:themeColor="text1"/>
                <w:sz w:val="24"/>
                <w14:textFill>
                  <w14:solidFill>
                    <w14:schemeClr w14:val="tx1"/>
                  </w14:solidFill>
                </w14:textFill>
              </w:rPr>
            </w:pPr>
          </w:p>
        </w:tc>
        <w:tc>
          <w:tcPr>
            <w:tcW w:w="2160" w:type="dxa"/>
            <w:tcBorders>
              <w:top w:val="single" w:color="000000" w:sz="6" w:space="0"/>
              <w:left w:val="single" w:color="000000" w:sz="6" w:space="0"/>
              <w:bottom w:val="double" w:color="000000" w:sz="6" w:space="0"/>
              <w:right w:val="single" w:color="000000" w:sz="6" w:space="0"/>
            </w:tcBorders>
          </w:tcPr>
          <w:p w14:paraId="33F15EEF">
            <w:pPr>
              <w:spacing w:line="400" w:lineRule="exact"/>
              <w:rPr>
                <w:rFonts w:ascii="宋体" w:hAnsi="宋体"/>
                <w:color w:val="000000" w:themeColor="text1"/>
                <w:sz w:val="24"/>
                <w14:textFill>
                  <w14:solidFill>
                    <w14:schemeClr w14:val="tx1"/>
                  </w14:solidFill>
                </w14:textFill>
              </w:rPr>
            </w:pPr>
          </w:p>
        </w:tc>
        <w:tc>
          <w:tcPr>
            <w:tcW w:w="2528" w:type="dxa"/>
            <w:tcBorders>
              <w:top w:val="single" w:color="000000" w:sz="6" w:space="0"/>
              <w:left w:val="single" w:color="000000" w:sz="6" w:space="0"/>
              <w:bottom w:val="double" w:color="000000" w:sz="6" w:space="0"/>
              <w:right w:val="single" w:color="000000" w:sz="6" w:space="0"/>
            </w:tcBorders>
          </w:tcPr>
          <w:p w14:paraId="5CA3C861">
            <w:pPr>
              <w:spacing w:line="400" w:lineRule="exact"/>
              <w:rPr>
                <w:rFonts w:ascii="宋体" w:hAnsi="宋体"/>
                <w:color w:val="000000" w:themeColor="text1"/>
                <w:sz w:val="24"/>
                <w14:textFill>
                  <w14:solidFill>
                    <w14:schemeClr w14:val="tx1"/>
                  </w14:solidFill>
                </w14:textFill>
              </w:rPr>
            </w:pPr>
          </w:p>
        </w:tc>
        <w:tc>
          <w:tcPr>
            <w:tcW w:w="2208" w:type="dxa"/>
            <w:tcBorders>
              <w:top w:val="single" w:color="000000" w:sz="6" w:space="0"/>
              <w:left w:val="single" w:color="000000" w:sz="6" w:space="0"/>
              <w:bottom w:val="double" w:color="000000" w:sz="6" w:space="0"/>
              <w:right w:val="single" w:color="000000" w:sz="6" w:space="0"/>
            </w:tcBorders>
          </w:tcPr>
          <w:p w14:paraId="19E579A5">
            <w:pPr>
              <w:spacing w:line="400" w:lineRule="exact"/>
              <w:rPr>
                <w:rFonts w:ascii="宋体" w:hAnsi="宋体"/>
                <w:color w:val="000000" w:themeColor="text1"/>
                <w:sz w:val="24"/>
                <w14:textFill>
                  <w14:solidFill>
                    <w14:schemeClr w14:val="tx1"/>
                  </w14:solidFill>
                </w14:textFill>
              </w:rPr>
            </w:pPr>
          </w:p>
        </w:tc>
        <w:tc>
          <w:tcPr>
            <w:tcW w:w="1489" w:type="dxa"/>
            <w:tcBorders>
              <w:top w:val="single" w:color="000000" w:sz="6" w:space="0"/>
              <w:left w:val="single" w:color="000000" w:sz="6" w:space="0"/>
              <w:bottom w:val="double" w:color="000000" w:sz="6" w:space="0"/>
              <w:right w:val="double" w:color="000000" w:sz="6" w:space="0"/>
            </w:tcBorders>
          </w:tcPr>
          <w:p w14:paraId="3883A038">
            <w:pPr>
              <w:spacing w:line="400" w:lineRule="exact"/>
              <w:rPr>
                <w:rFonts w:ascii="宋体" w:hAnsi="宋体"/>
                <w:color w:val="000000" w:themeColor="text1"/>
                <w:sz w:val="24"/>
                <w14:textFill>
                  <w14:solidFill>
                    <w14:schemeClr w14:val="tx1"/>
                  </w14:solidFill>
                </w14:textFill>
              </w:rPr>
            </w:pPr>
          </w:p>
        </w:tc>
      </w:tr>
    </w:tbl>
    <w:p w14:paraId="45E51D6F">
      <w:pPr>
        <w:spacing w:line="400" w:lineRule="exact"/>
        <w:rPr>
          <w:rFonts w:ascii="宋体" w:hAnsi="宋体"/>
          <w:color w:val="000000" w:themeColor="text1"/>
          <w:sz w:val="24"/>
          <w14:textFill>
            <w14:solidFill>
              <w14:schemeClr w14:val="tx1"/>
            </w14:solidFill>
          </w14:textFill>
        </w:rPr>
      </w:pPr>
    </w:p>
    <w:p w14:paraId="1C6AF8AD">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（注：注：供应商所谈判货物的商务条款与 谈判文件 第三章项目采购需求 中对所谈判货物的商务要求有不同时，应逐条填写在偏离表中；无偏离的请勿填写；此表不填或空白的视为“所有商务条款无偏离”。）</w:t>
      </w:r>
    </w:p>
    <w:p w14:paraId="3D79697E">
      <w:pPr>
        <w:spacing w:line="400" w:lineRule="exact"/>
        <w:rPr>
          <w:rFonts w:ascii="宋体" w:hAnsi="宋体"/>
          <w:color w:val="000000" w:themeColor="text1"/>
          <w:sz w:val="24"/>
          <w:u w:val="single"/>
          <w14:textFill>
            <w14:solidFill>
              <w14:schemeClr w14:val="tx1"/>
            </w14:solidFill>
          </w14:textFill>
        </w:rPr>
      </w:pPr>
    </w:p>
    <w:p w14:paraId="20B57DC4">
      <w:pPr>
        <w:spacing w:line="400" w:lineRule="exact"/>
        <w:rPr>
          <w:rFonts w:ascii="宋体" w:hAnsi="宋体"/>
          <w:color w:val="000000" w:themeColor="text1"/>
          <w:sz w:val="24"/>
          <w:u w:val="single"/>
          <w14:textFill>
            <w14:solidFill>
              <w14:schemeClr w14:val="tx1"/>
            </w14:solidFill>
          </w14:textFill>
        </w:rPr>
      </w:pPr>
    </w:p>
    <w:p w14:paraId="50F3016B">
      <w:pPr>
        <w:spacing w:line="400" w:lineRule="exac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供应商名称（盖章）：</w:t>
      </w:r>
    </w:p>
    <w:p w14:paraId="05B71CE0">
      <w:pPr>
        <w:spacing w:line="400" w:lineRule="exact"/>
        <w:rPr>
          <w:rFonts w:ascii="宋体" w:hAnsi="宋体"/>
          <w:color w:val="000000" w:themeColor="text1"/>
          <w:sz w:val="24"/>
          <w:u w:val="single"/>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7FBB9B19">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日     期：   年  月  日 </w:t>
      </w:r>
    </w:p>
    <w:p w14:paraId="3E3E503E">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color w:val="000000" w:themeColor="text1"/>
          <w:sz w:val="24"/>
          <w14:textFill>
            <w14:solidFill>
              <w14:schemeClr w14:val="tx1"/>
            </w14:solidFill>
          </w14:textFill>
        </w:rPr>
        <w:br w:type="page"/>
      </w:r>
    </w:p>
    <w:p w14:paraId="2EBE38E2">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四、</w:t>
      </w:r>
      <w:r>
        <w:rPr>
          <w:rFonts w:hint="eastAsia" w:ascii="宋体" w:hAnsi="宋体"/>
          <w:b/>
          <w:color w:val="000000" w:themeColor="text1"/>
          <w:sz w:val="30"/>
          <w:szCs w:val="30"/>
          <w14:textFill>
            <w14:solidFill>
              <w14:schemeClr w14:val="tx1"/>
            </w14:solidFill>
          </w14:textFill>
        </w:rPr>
        <w:t>投标人参加政府采购活动前3年内在经营活动中没有重大违法记录的书面声明（格式）</w:t>
      </w:r>
    </w:p>
    <w:p w14:paraId="1B89C018">
      <w:pPr>
        <w:spacing w:line="400" w:lineRule="exact"/>
        <w:ind w:firstLine="480" w:firstLineChars="200"/>
        <w:rPr>
          <w:rFonts w:ascii="宋体" w:hAnsi="宋体"/>
          <w:color w:val="000000" w:themeColor="text1"/>
          <w:sz w:val="24"/>
          <w14:textFill>
            <w14:solidFill>
              <w14:schemeClr w14:val="tx1"/>
            </w14:solidFill>
          </w14:textFill>
        </w:rPr>
      </w:pPr>
    </w:p>
    <w:p w14:paraId="69889F43">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致：新沂市第六中学</w:t>
      </w:r>
    </w:p>
    <w:p w14:paraId="07B8C0B0">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我单位在参加你单位组织的项目</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（项目编号：    ）政府采购活动前3年内，在经营活动中没有重大违法记录，重大违法记录是指因违法经营受到刑事处罚或者责令停产停业、吊销许可证照或者执照、较大数额罚款等行政处罚。</w:t>
      </w:r>
    </w:p>
    <w:p w14:paraId="34814E67">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我单位对上述声明的真实性负责。如有虚假，我单位将无条件地退出本项目的投标，并承担由此引起的一切法律责任。</w:t>
      </w:r>
    </w:p>
    <w:p w14:paraId="42084B99">
      <w:pPr>
        <w:spacing w:line="4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特此声明。</w:t>
      </w:r>
    </w:p>
    <w:p w14:paraId="3FAA9FA0">
      <w:pPr>
        <w:spacing w:line="400" w:lineRule="exact"/>
        <w:ind w:firstLine="480" w:firstLineChars="200"/>
        <w:rPr>
          <w:rFonts w:ascii="宋体" w:hAnsi="宋体"/>
          <w:color w:val="000000" w:themeColor="text1"/>
          <w:sz w:val="24"/>
          <w14:textFill>
            <w14:solidFill>
              <w14:schemeClr w14:val="tx1"/>
            </w14:solidFill>
          </w14:textFill>
        </w:rPr>
      </w:pPr>
    </w:p>
    <w:p w14:paraId="4FD76060">
      <w:pPr>
        <w:spacing w:line="400" w:lineRule="exact"/>
        <w:ind w:firstLine="480" w:firstLineChars="200"/>
        <w:rPr>
          <w:rFonts w:ascii="宋体" w:hAnsi="宋体"/>
          <w:color w:val="000000" w:themeColor="text1"/>
          <w:sz w:val="24"/>
          <w14:textFill>
            <w14:solidFill>
              <w14:schemeClr w14:val="tx1"/>
            </w14:solidFill>
          </w14:textFill>
        </w:rPr>
      </w:pPr>
    </w:p>
    <w:p w14:paraId="3BC840A3">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供应商名称（公章）：</w:t>
      </w:r>
    </w:p>
    <w:p w14:paraId="17EF75D9">
      <w:pPr>
        <w:spacing w:line="400" w:lineRule="exact"/>
        <w:rPr>
          <w:rFonts w:ascii="宋体" w:hAnsi="宋体"/>
          <w:color w:val="000000" w:themeColor="text1"/>
          <w:sz w:val="24"/>
          <w14:textFill>
            <w14:solidFill>
              <w14:schemeClr w14:val="tx1"/>
            </w14:solidFill>
          </w14:textFill>
        </w:rPr>
      </w:pPr>
    </w:p>
    <w:p w14:paraId="2D8B3048">
      <w:pPr>
        <w:spacing w:line="400" w:lineRule="exact"/>
        <w:rPr>
          <w:rFonts w:ascii="宋体" w:hAns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3DC1C1B0">
      <w:pPr>
        <w:pStyle w:val="10"/>
        <w:ind w:left="840" w:hanging="420"/>
      </w:pPr>
    </w:p>
    <w:p w14:paraId="44A14C0B">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color w:val="000000" w:themeColor="text1"/>
          <w:sz w:val="24"/>
          <w14:textFill>
            <w14:solidFill>
              <w14:schemeClr w14:val="tx1"/>
            </w14:solidFill>
          </w14:textFill>
        </w:rPr>
        <w:t>日    期：   年  月  日</w:t>
      </w:r>
    </w:p>
    <w:p w14:paraId="14A02570">
      <w:pPr>
        <w:spacing w:line="400" w:lineRule="exact"/>
        <w:ind w:firstLine="480" w:firstLineChars="200"/>
        <w:rPr>
          <w:rFonts w:ascii="宋体" w:hAnsi="宋体"/>
          <w:color w:val="000000" w:themeColor="text1"/>
          <w:sz w:val="24"/>
          <w14:textFill>
            <w14:solidFill>
              <w14:schemeClr w14:val="tx1"/>
            </w14:solidFill>
          </w14:textFill>
        </w:rPr>
      </w:pPr>
    </w:p>
    <w:p w14:paraId="052A5476">
      <w:pPr>
        <w:spacing w:line="400" w:lineRule="exact"/>
        <w:rPr>
          <w:rFonts w:ascii="宋体" w:hAnsi="宋体"/>
          <w:b/>
          <w:color w:val="000000" w:themeColor="text1"/>
          <w:sz w:val="30"/>
          <w:szCs w:val="30"/>
          <w14:textFill>
            <w14:solidFill>
              <w14:schemeClr w14:val="tx1"/>
            </w14:solidFill>
          </w14:textFill>
        </w:rPr>
      </w:pPr>
    </w:p>
    <w:p w14:paraId="43E3961C">
      <w:pPr>
        <w:spacing w:line="400" w:lineRule="exact"/>
        <w:rPr>
          <w:rFonts w:ascii="宋体" w:hAnsi="宋体"/>
          <w:b/>
          <w:color w:val="000000" w:themeColor="text1"/>
          <w:sz w:val="30"/>
          <w:szCs w:val="30"/>
          <w14:textFill>
            <w14:solidFill>
              <w14:schemeClr w14:val="tx1"/>
            </w14:solidFill>
          </w14:textFill>
        </w:rPr>
      </w:pPr>
    </w:p>
    <w:p w14:paraId="47EB8D7E">
      <w:pPr>
        <w:pStyle w:val="9"/>
        <w:rPr>
          <w:rFonts w:ascii="宋体" w:hAnsi="宋体"/>
          <w:color w:val="000000" w:themeColor="text1"/>
          <w:sz w:val="30"/>
          <w:szCs w:val="30"/>
          <w14:textFill>
            <w14:solidFill>
              <w14:schemeClr w14:val="tx1"/>
            </w14:solidFill>
          </w14:textFill>
        </w:rPr>
      </w:pPr>
    </w:p>
    <w:p w14:paraId="235375BE">
      <w:pPr>
        <w:pStyle w:val="9"/>
        <w:rPr>
          <w:rFonts w:ascii="宋体" w:hAnsi="宋体"/>
          <w:color w:val="000000" w:themeColor="text1"/>
          <w:sz w:val="30"/>
          <w:szCs w:val="30"/>
          <w14:textFill>
            <w14:solidFill>
              <w14:schemeClr w14:val="tx1"/>
            </w14:solidFill>
          </w14:textFill>
        </w:rPr>
      </w:pPr>
    </w:p>
    <w:p w14:paraId="48536E85">
      <w:pPr>
        <w:pStyle w:val="9"/>
        <w:rPr>
          <w:rFonts w:ascii="宋体" w:hAnsi="宋体"/>
          <w:color w:val="000000" w:themeColor="text1"/>
          <w:sz w:val="30"/>
          <w:szCs w:val="30"/>
          <w14:textFill>
            <w14:solidFill>
              <w14:schemeClr w14:val="tx1"/>
            </w14:solidFill>
          </w14:textFill>
        </w:rPr>
      </w:pPr>
    </w:p>
    <w:p w14:paraId="25237021">
      <w:pPr>
        <w:pStyle w:val="9"/>
        <w:rPr>
          <w:rFonts w:ascii="宋体" w:hAnsi="宋体"/>
          <w:color w:val="000000" w:themeColor="text1"/>
          <w:sz w:val="30"/>
          <w:szCs w:val="30"/>
          <w14:textFill>
            <w14:solidFill>
              <w14:schemeClr w14:val="tx1"/>
            </w14:solidFill>
          </w14:textFill>
        </w:rPr>
      </w:pPr>
    </w:p>
    <w:p w14:paraId="4393AC3B">
      <w:pPr>
        <w:pStyle w:val="9"/>
        <w:rPr>
          <w:rFonts w:ascii="宋体" w:hAnsi="宋体"/>
          <w:color w:val="000000" w:themeColor="text1"/>
          <w:sz w:val="30"/>
          <w:szCs w:val="30"/>
          <w14:textFill>
            <w14:solidFill>
              <w14:schemeClr w14:val="tx1"/>
            </w14:solidFill>
          </w14:textFill>
        </w:rPr>
      </w:pPr>
    </w:p>
    <w:p w14:paraId="6613985F">
      <w:pPr>
        <w:pStyle w:val="9"/>
        <w:rPr>
          <w:rFonts w:ascii="宋体" w:hAnsi="宋体"/>
          <w:color w:val="000000" w:themeColor="text1"/>
          <w:sz w:val="30"/>
          <w:szCs w:val="30"/>
          <w14:textFill>
            <w14:solidFill>
              <w14:schemeClr w14:val="tx1"/>
            </w14:solidFill>
          </w14:textFill>
        </w:rPr>
      </w:pPr>
    </w:p>
    <w:p w14:paraId="2A3FA8F0">
      <w:pPr>
        <w:pStyle w:val="9"/>
        <w:rPr>
          <w:rFonts w:ascii="宋体" w:hAnsi="宋体"/>
          <w:color w:val="000000" w:themeColor="text1"/>
          <w:sz w:val="30"/>
          <w:szCs w:val="30"/>
          <w14:textFill>
            <w14:solidFill>
              <w14:schemeClr w14:val="tx1"/>
            </w14:solidFill>
          </w14:textFill>
        </w:rPr>
      </w:pPr>
    </w:p>
    <w:p w14:paraId="5EECCD7A">
      <w:pPr>
        <w:pStyle w:val="9"/>
        <w:rPr>
          <w:rFonts w:ascii="宋体" w:hAnsi="宋体"/>
          <w:color w:val="000000" w:themeColor="text1"/>
          <w:sz w:val="30"/>
          <w:szCs w:val="30"/>
          <w14:textFill>
            <w14:solidFill>
              <w14:schemeClr w14:val="tx1"/>
            </w14:solidFill>
          </w14:textFill>
        </w:rPr>
      </w:pPr>
    </w:p>
    <w:p w14:paraId="73FCCE38">
      <w:pPr>
        <w:pStyle w:val="9"/>
        <w:rPr>
          <w:rFonts w:ascii="宋体" w:hAnsi="宋体"/>
          <w:color w:val="000000" w:themeColor="text1"/>
          <w:sz w:val="30"/>
          <w:szCs w:val="30"/>
          <w14:textFill>
            <w14:solidFill>
              <w14:schemeClr w14:val="tx1"/>
            </w14:solidFill>
          </w14:textFill>
        </w:rPr>
      </w:pPr>
    </w:p>
    <w:p w14:paraId="6E6CF4FE">
      <w:pPr>
        <w:widowControl/>
        <w:spacing w:before="100" w:beforeAutospacing="1" w:after="100" w:afterAutospacing="1" w:line="432" w:lineRule="auto"/>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五、中小企业声明函（格式）</w:t>
      </w:r>
    </w:p>
    <w:p w14:paraId="600ECFC4">
      <w:pPr>
        <w:spacing w:before="156" w:beforeLines="50" w:line="400" w:lineRule="exact"/>
        <w:ind w:firstLine="480" w:firstLineChars="200"/>
        <w:rPr>
          <w:rFonts w:ascii="宋体" w:hAnsi="宋体" w:cs="宋体"/>
          <w:sz w:val="24"/>
        </w:rPr>
      </w:pPr>
      <w:r>
        <w:rPr>
          <w:rFonts w:hint="eastAsia" w:ascii="宋体" w:hAnsi="宋体" w:cs="宋体"/>
          <w:sz w:val="24"/>
        </w:rPr>
        <w:t xml:space="preserve">项目名称： </w:t>
      </w:r>
    </w:p>
    <w:p w14:paraId="6CCCEA46">
      <w:pPr>
        <w:spacing w:line="400" w:lineRule="exact"/>
        <w:ind w:firstLine="480" w:firstLineChars="200"/>
        <w:rPr>
          <w:rFonts w:ascii="宋体" w:hAnsi="宋体" w:cs="宋体"/>
          <w:sz w:val="24"/>
        </w:rPr>
      </w:pPr>
      <w:r>
        <w:rPr>
          <w:rFonts w:hint="eastAsia" w:ascii="宋体" w:hAnsi="宋体" w:cs="宋体"/>
          <w:sz w:val="24"/>
        </w:rPr>
        <w:t xml:space="preserve">项目编号： </w:t>
      </w:r>
    </w:p>
    <w:p w14:paraId="501B32F0">
      <w:pPr>
        <w:spacing w:before="156" w:beforeLines="50" w:line="400" w:lineRule="exact"/>
        <w:ind w:firstLine="480" w:firstLineChars="200"/>
        <w:rPr>
          <w:rFonts w:ascii="宋体" w:hAnsi="宋体" w:cs="宋体"/>
          <w:sz w:val="24"/>
        </w:rPr>
      </w:pPr>
      <w:r>
        <w:rPr>
          <w:rFonts w:hint="eastAsia" w:ascii="宋体" w:hAnsi="宋体" w:cs="宋体"/>
          <w:sz w:val="24"/>
        </w:rPr>
        <w:t>本公司（联合体）郑重声明，根据《政府采购促进中小企业发展管理办法》（财库﹝2020﹞46 号）的规定，本公司（联合体）参加</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（项目名称）</w:t>
      </w:r>
      <w:r>
        <w:rPr>
          <w:rFonts w:hint="eastAsia" w:ascii="宋体" w:hAnsi="宋体" w:cs="宋体"/>
          <w:sz w:val="24"/>
        </w:rPr>
        <w:t>采购活动，服务全部由符合政策要求的中小企业承接。相关企业（含联合体中的中小企业、签订分包意向协议的中小企业）的具体情况如下：</w:t>
      </w:r>
    </w:p>
    <w:p w14:paraId="5A36BD57">
      <w:pPr>
        <w:spacing w:before="156" w:beforeLines="50" w:line="400" w:lineRule="exact"/>
        <w:ind w:firstLine="480" w:firstLineChars="200"/>
        <w:rPr>
          <w:rFonts w:ascii="宋体" w:hAnsi="宋体" w:cs="宋体"/>
          <w:sz w:val="24"/>
        </w:rPr>
      </w:pPr>
      <w:r>
        <w:rPr>
          <w:rFonts w:hint="eastAsia" w:ascii="宋体" w:hAnsi="宋体" w:cs="宋体"/>
          <w:sz w:val="24"/>
        </w:rPr>
        <w:t xml:space="preserve"> 1、</w:t>
      </w:r>
      <w:r>
        <w:rPr>
          <w:rFonts w:hint="eastAsia" w:ascii="宋体" w:hAnsi="宋体" w:cs="宋体"/>
          <w:sz w:val="24"/>
          <w:u w:val="single"/>
        </w:rPr>
        <w:t>1.（标的名称） ，属于（ 服务业）；承建（承接）企业为（企业名称），从业人员    人，营业收入为       万元，资产总额为  万元 ，属于（中型企业、 小型企业、微型企业）；</w:t>
      </w:r>
    </w:p>
    <w:p w14:paraId="42ED6125">
      <w:pPr>
        <w:ind w:firstLine="482" w:firstLineChars="200"/>
        <w:rPr>
          <w:rFonts w:ascii="宋体" w:hAnsi="宋体" w:cs="宋体"/>
          <w:sz w:val="24"/>
        </w:rPr>
      </w:pPr>
      <w:r>
        <w:rPr>
          <w:rFonts w:hint="eastAsia" w:ascii="宋体" w:hAnsi="宋体"/>
          <w:b/>
          <w:sz w:val="24"/>
        </w:rPr>
        <w:t>.........</w:t>
      </w:r>
      <w:r>
        <w:rPr>
          <w:rFonts w:hint="eastAsia" w:ascii="宋体" w:hAnsi="宋体" w:cs="宋体"/>
          <w:sz w:val="24"/>
        </w:rPr>
        <w:t xml:space="preserve"> </w:t>
      </w:r>
    </w:p>
    <w:p w14:paraId="7E98B83F">
      <w:pPr>
        <w:widowControl/>
        <w:spacing w:before="100" w:beforeAutospacing="1" w:after="100" w:afterAutospacing="1"/>
        <w:rPr>
          <w:rFonts w:ascii="宋体" w:hAnsi="宋体" w:cs="宋体"/>
          <w:sz w:val="24"/>
        </w:rPr>
      </w:pPr>
      <w:r>
        <w:rPr>
          <w:rFonts w:hint="eastAsia" w:ascii="宋体" w:hAnsi="宋体" w:cs="宋体"/>
          <w:sz w:val="24"/>
        </w:rPr>
        <w:t xml:space="preserve">以上企业，不属于大企业的分支机构，不存在控股股东 为大企业的情形，也不存在与大企业的负责人为同一人的情形。 </w:t>
      </w:r>
    </w:p>
    <w:p w14:paraId="3234B354">
      <w:pPr>
        <w:widowControl/>
        <w:spacing w:before="100" w:beforeAutospacing="1" w:after="100" w:afterAutospacing="1"/>
        <w:rPr>
          <w:rFonts w:ascii="宋体" w:hAnsi="宋体" w:cs="宋体"/>
          <w:sz w:val="24"/>
        </w:rPr>
      </w:pPr>
      <w:r>
        <w:rPr>
          <w:rFonts w:hint="eastAsia" w:ascii="宋体" w:hAnsi="宋体" w:cs="宋体"/>
          <w:sz w:val="24"/>
        </w:rPr>
        <w:t xml:space="preserve">本企业对上述声明内容的真实性负责。如有虚假，将依法承担相应责任。 </w:t>
      </w:r>
    </w:p>
    <w:p w14:paraId="08ACDE19">
      <w:pPr>
        <w:widowControl/>
        <w:spacing w:before="100" w:beforeAutospacing="1" w:after="100" w:afterAutospacing="1"/>
        <w:rPr>
          <w:rFonts w:ascii="宋体" w:hAnsi="宋体" w:cs="宋体"/>
          <w:sz w:val="24"/>
        </w:rPr>
      </w:pPr>
    </w:p>
    <w:p w14:paraId="61BCC219">
      <w:pPr>
        <w:spacing w:line="40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供应商名称（公章）：</w:t>
      </w:r>
    </w:p>
    <w:p w14:paraId="669B7AE9">
      <w:pPr>
        <w:spacing w:line="400" w:lineRule="exact"/>
        <w:rPr>
          <w:rFonts w:ascii="宋体" w:hAnsi="宋体"/>
          <w:color w:val="000000" w:themeColor="text1"/>
          <w:sz w:val="24"/>
          <w14:textFill>
            <w14:solidFill>
              <w14:schemeClr w14:val="tx1"/>
            </w14:solidFill>
          </w14:textFill>
        </w:rPr>
      </w:pPr>
    </w:p>
    <w:p w14:paraId="02703442">
      <w:pPr>
        <w:spacing w:line="400" w:lineRule="exact"/>
        <w:rPr>
          <w:rFonts w:ascii="宋体" w:hAns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法定代表人或授权代表（签字或加盖个人名章）</w:t>
      </w:r>
      <w:r>
        <w:rPr>
          <w:rFonts w:hint="eastAsia" w:ascii="宋体" w:hAnsi="宋体"/>
          <w:color w:val="000000" w:themeColor="text1"/>
          <w:sz w:val="24"/>
          <w14:textFill>
            <w14:solidFill>
              <w14:schemeClr w14:val="tx1"/>
            </w14:solidFill>
          </w14:textFill>
        </w:rPr>
        <w:t>：</w:t>
      </w:r>
    </w:p>
    <w:p w14:paraId="5307F0C0">
      <w:pPr>
        <w:pStyle w:val="10"/>
        <w:ind w:left="840" w:hanging="420"/>
      </w:pPr>
    </w:p>
    <w:p w14:paraId="52BB3F39">
      <w:pPr>
        <w:spacing w:line="400" w:lineRule="exact"/>
        <w:rPr>
          <w:rFonts w:ascii="宋体" w:hAnsi="宋体"/>
          <w:b/>
          <w:color w:val="000000" w:themeColor="text1"/>
          <w:sz w:val="30"/>
          <w:szCs w:val="30"/>
          <w14:textFill>
            <w14:solidFill>
              <w14:schemeClr w14:val="tx1"/>
            </w14:solidFill>
          </w14:textFill>
        </w:rPr>
      </w:pPr>
      <w:r>
        <w:rPr>
          <w:rFonts w:hint="eastAsia" w:ascii="宋体" w:hAnsi="宋体"/>
          <w:color w:val="000000" w:themeColor="text1"/>
          <w:sz w:val="24"/>
          <w14:textFill>
            <w14:solidFill>
              <w14:schemeClr w14:val="tx1"/>
            </w14:solidFill>
          </w14:textFill>
        </w:rPr>
        <w:t>日    期：   年  月  日</w:t>
      </w:r>
    </w:p>
    <w:p w14:paraId="1EA039C7">
      <w:pPr>
        <w:widowControl/>
        <w:spacing w:before="100" w:beforeAutospacing="1" w:after="100" w:afterAutospacing="1"/>
        <w:rPr>
          <w:rFonts w:ascii="宋体" w:hAnsi="宋体" w:cs="宋体"/>
          <w:sz w:val="24"/>
        </w:rPr>
      </w:pPr>
    </w:p>
    <w:p w14:paraId="3F6DAA7A">
      <w:pPr>
        <w:widowControl/>
        <w:spacing w:before="100" w:beforeAutospacing="1" w:after="100" w:afterAutospacing="1"/>
        <w:rPr>
          <w:rFonts w:ascii="宋体" w:hAnsi="宋体"/>
          <w:color w:val="000000" w:themeColor="text1"/>
          <w:sz w:val="24"/>
          <w14:textFill>
            <w14:solidFill>
              <w14:schemeClr w14:val="tx1"/>
            </w14:solidFill>
          </w14:textFill>
        </w:rPr>
      </w:pPr>
      <w:r>
        <w:rPr>
          <w:rFonts w:hint="eastAsia" w:ascii="宋体" w:hAnsi="宋体" w:cs="宋体"/>
          <w:sz w:val="24"/>
        </w:rPr>
        <w:t>说明：如提供虚假中小企业声明函的，则采购人有权取消投标、中标候选或中标资格，有权终止合同，并报政府采购监管部门。</w:t>
      </w:r>
    </w:p>
    <w:p w14:paraId="6DBD95FB">
      <w:pPr>
        <w:pStyle w:val="10"/>
        <w:ind w:left="840" w:hanging="420"/>
      </w:pPr>
    </w:p>
    <w:p w14:paraId="61F0F9BF">
      <w:pPr>
        <w:rPr>
          <w:b/>
        </w:rPr>
      </w:pPr>
    </w:p>
    <w:p w14:paraId="42A459D2">
      <w:pPr>
        <w:pStyle w:val="12"/>
        <w:rPr>
          <w:b/>
        </w:rPr>
      </w:pPr>
    </w:p>
    <w:p w14:paraId="6C934D5B">
      <w:pPr>
        <w:rPr>
          <w:b/>
        </w:rPr>
      </w:pPr>
    </w:p>
    <w:p w14:paraId="07F2233F">
      <w:pPr>
        <w:pStyle w:val="12"/>
        <w:rPr>
          <w:b/>
        </w:rPr>
      </w:pPr>
    </w:p>
    <w:p w14:paraId="4DF760F0">
      <w:pPr>
        <w:rPr>
          <w:b/>
        </w:rPr>
      </w:pPr>
    </w:p>
    <w:p w14:paraId="7A6ECAF3">
      <w:pPr>
        <w:pStyle w:val="12"/>
        <w:rPr>
          <w:b/>
        </w:rPr>
      </w:pPr>
    </w:p>
    <w:p w14:paraId="57DB27BB">
      <w:pPr>
        <w:rPr>
          <w:b/>
        </w:rPr>
      </w:pPr>
    </w:p>
    <w:p w14:paraId="76F9D2F4">
      <w:pPr>
        <w:rPr>
          <w:b/>
        </w:rPr>
      </w:pPr>
    </w:p>
    <w:p w14:paraId="5B3F967B">
      <w:pPr>
        <w:pStyle w:val="3"/>
        <w:tabs>
          <w:tab w:val="left" w:pos="720"/>
        </w:tabs>
        <w:jc w:val="center"/>
        <w:rPr>
          <w:rFonts w:ascii="宋体" w:hAnsi="宋体" w:eastAsia="宋体"/>
          <w:bCs w:val="0"/>
          <w:color w:val="000000" w:themeColor="text1"/>
          <w:sz w:val="30"/>
          <w:szCs w:val="30"/>
          <w14:textFill>
            <w14:solidFill>
              <w14:schemeClr w14:val="tx1"/>
            </w14:solidFill>
          </w14:textFill>
        </w:rPr>
      </w:pPr>
      <w:r>
        <w:rPr>
          <w:rFonts w:hint="eastAsia" w:ascii="宋体" w:hAnsi="宋体" w:eastAsia="宋体"/>
          <w:bCs w:val="0"/>
          <w:color w:val="000000" w:themeColor="text1"/>
          <w:sz w:val="30"/>
          <w:szCs w:val="30"/>
          <w14:textFill>
            <w14:solidFill>
              <w14:schemeClr w14:val="tx1"/>
            </w14:solidFill>
          </w14:textFill>
        </w:rPr>
        <w:t>六、具备履行合同所必需的设备和专业技术能力的书面声明</w:t>
      </w:r>
    </w:p>
    <w:p w14:paraId="36141BBD">
      <w:pPr>
        <w:spacing w:line="400" w:lineRule="exact"/>
        <w:ind w:firstLine="480" w:firstLineChars="200"/>
        <w:rPr>
          <w:rFonts w:ascii="宋体" w:hAnsi="宋体" w:cs="宋体"/>
          <w:sz w:val="24"/>
        </w:rPr>
      </w:pPr>
      <w:r>
        <w:rPr>
          <w:rFonts w:hint="eastAsia" w:ascii="宋体" w:hAnsi="宋体" w:cs="宋体"/>
          <w:sz w:val="24"/>
        </w:rPr>
        <w:t>项目名称：</w:t>
      </w:r>
      <w:r>
        <w:rPr>
          <w:rFonts w:hint="eastAsia" w:ascii="宋体" w:hAnsi="宋体"/>
          <w:bCs/>
          <w:sz w:val="24"/>
          <w:lang w:val="zh-CN"/>
        </w:rPr>
        <w:t>新沂市第六中学教室监控设备项目</w:t>
      </w:r>
      <w:r>
        <w:rPr>
          <w:rFonts w:hint="eastAsia" w:ascii="宋体" w:hAnsi="宋体" w:cs="宋体"/>
          <w:sz w:val="24"/>
        </w:rPr>
        <w:t xml:space="preserve"> </w:t>
      </w:r>
    </w:p>
    <w:p w14:paraId="2C1F7A5E">
      <w:pPr>
        <w:spacing w:line="400" w:lineRule="exact"/>
        <w:ind w:firstLine="480" w:firstLineChars="200"/>
        <w:rPr>
          <w:rFonts w:ascii="宋体" w:hAnsi="宋体" w:cs="宋体"/>
          <w:sz w:val="24"/>
        </w:rPr>
      </w:pPr>
      <w:r>
        <w:rPr>
          <w:rFonts w:hint="eastAsia" w:ascii="宋体" w:hAnsi="宋体" w:cs="宋体"/>
          <w:sz w:val="24"/>
        </w:rPr>
        <w:t>项目编号：</w:t>
      </w:r>
      <w:r>
        <w:rPr>
          <w:rFonts w:hint="eastAsia" w:ascii="宋体" w:hAnsi="宋体" w:cs="宋体"/>
          <w:sz w:val="24"/>
          <w:highlight w:val="yellow"/>
        </w:rPr>
        <w:t>XYSGJZXYYSFW-202</w:t>
      </w:r>
      <w:r>
        <w:rPr>
          <w:rFonts w:hint="eastAsia" w:ascii="宋体" w:hAnsi="宋体" w:cs="宋体"/>
          <w:sz w:val="24"/>
          <w:highlight w:val="yellow"/>
          <w:lang w:val="en-US" w:eastAsia="zh-CN"/>
        </w:rPr>
        <w:t>6</w:t>
      </w:r>
      <w:r>
        <w:rPr>
          <w:rFonts w:hint="eastAsia" w:ascii="宋体" w:hAnsi="宋体" w:cs="宋体"/>
          <w:sz w:val="24"/>
        </w:rPr>
        <w:t xml:space="preserve"> </w:t>
      </w:r>
    </w:p>
    <w:p w14:paraId="3E93CC2B">
      <w:pPr>
        <w:spacing w:line="400" w:lineRule="exact"/>
        <w:ind w:firstLine="480" w:firstLineChars="200"/>
        <w:rPr>
          <w:rFonts w:ascii="宋体" w:hAnsi="宋体" w:cs="宋体"/>
          <w:sz w:val="24"/>
        </w:rPr>
      </w:pPr>
    </w:p>
    <w:p w14:paraId="6EED1F91">
      <w:pPr>
        <w:spacing w:line="400" w:lineRule="exact"/>
        <w:ind w:firstLine="480" w:firstLineChars="200"/>
        <w:rPr>
          <w:rFonts w:ascii="宋体" w:hAnsi="宋体" w:cs="宋体"/>
          <w:sz w:val="24"/>
        </w:rPr>
      </w:pPr>
      <w:r>
        <w:rPr>
          <w:rFonts w:hint="eastAsia" w:ascii="宋体" w:hAnsi="宋体" w:cs="宋体"/>
          <w:sz w:val="24"/>
        </w:rPr>
        <w:t>我单位郑重声明：我单位具备履行合同（项目名称：</w:t>
      </w:r>
      <w:r>
        <w:rPr>
          <w:rFonts w:hint="eastAsia" w:ascii="宋体" w:hAnsi="宋体"/>
          <w:bCs/>
          <w:sz w:val="24"/>
          <w:lang w:val="zh-CN"/>
        </w:rPr>
        <w:t>新沂市第六中学教室监控设备项目</w:t>
      </w:r>
      <w:r>
        <w:rPr>
          <w:rFonts w:hint="eastAsia" w:ascii="宋体" w:hAnsi="宋体" w:cs="宋体"/>
          <w:sz w:val="24"/>
        </w:rPr>
        <w:t>，项目编号：</w:t>
      </w:r>
      <w:r>
        <w:rPr>
          <w:rFonts w:hint="eastAsia" w:ascii="宋体" w:hAnsi="宋体" w:cs="宋体"/>
          <w:sz w:val="24"/>
          <w:highlight w:val="yellow"/>
        </w:rPr>
        <w:t>XYSGJZXYYSFW-202</w:t>
      </w:r>
      <w:r>
        <w:rPr>
          <w:rFonts w:hint="eastAsia" w:ascii="宋体" w:hAnsi="宋体" w:cs="宋体"/>
          <w:sz w:val="24"/>
          <w:highlight w:val="yellow"/>
          <w:lang w:val="en-US" w:eastAsia="zh-CN"/>
        </w:rPr>
        <w:t>6</w:t>
      </w:r>
      <w:r>
        <w:rPr>
          <w:rFonts w:hint="eastAsia" w:ascii="宋体" w:hAnsi="宋体" w:cs="宋体"/>
          <w:sz w:val="24"/>
        </w:rPr>
        <w:t>）所必需的设备和专业技术能力。</w:t>
      </w:r>
    </w:p>
    <w:p w14:paraId="63C01464">
      <w:pPr>
        <w:spacing w:line="400" w:lineRule="exact"/>
        <w:ind w:firstLine="480" w:firstLineChars="200"/>
        <w:rPr>
          <w:rFonts w:ascii="宋体" w:hAnsi="宋体" w:cs="宋体"/>
          <w:sz w:val="24"/>
        </w:rPr>
      </w:pPr>
    </w:p>
    <w:p w14:paraId="68DE7AD8">
      <w:pPr>
        <w:spacing w:line="400" w:lineRule="exact"/>
        <w:ind w:firstLine="480" w:firstLineChars="200"/>
        <w:rPr>
          <w:rFonts w:ascii="宋体" w:hAnsi="宋体" w:cs="宋体"/>
          <w:sz w:val="24"/>
        </w:rPr>
      </w:pPr>
      <w:r>
        <w:rPr>
          <w:rFonts w:hint="eastAsia" w:ascii="宋体" w:hAnsi="宋体" w:cs="宋体"/>
          <w:sz w:val="24"/>
        </w:rPr>
        <w:t>特此声明。</w:t>
      </w:r>
    </w:p>
    <w:p w14:paraId="6AB043A4">
      <w:pPr>
        <w:spacing w:line="400" w:lineRule="exact"/>
        <w:ind w:firstLine="480" w:firstLineChars="200"/>
        <w:rPr>
          <w:rFonts w:ascii="宋体" w:hAnsi="宋体" w:cs="宋体"/>
          <w:sz w:val="24"/>
        </w:rPr>
      </w:pPr>
      <w:r>
        <w:rPr>
          <w:rFonts w:hint="eastAsia" w:ascii="宋体" w:hAnsi="宋体" w:cs="宋体"/>
          <w:sz w:val="24"/>
        </w:rPr>
        <w:t>我单位对上述声明的真实性负责。如有虚假，将</w:t>
      </w:r>
      <w:bookmarkStart w:id="54" w:name="_GoBack"/>
      <w:bookmarkEnd w:id="54"/>
      <w:r>
        <w:rPr>
          <w:rFonts w:hint="eastAsia" w:ascii="宋体" w:hAnsi="宋体" w:cs="宋体"/>
          <w:sz w:val="24"/>
        </w:rPr>
        <w:t>依法承担相应责任。</w:t>
      </w:r>
    </w:p>
    <w:p w14:paraId="229158CB">
      <w:pPr>
        <w:spacing w:line="400" w:lineRule="exact"/>
        <w:ind w:firstLine="480" w:firstLineChars="200"/>
        <w:rPr>
          <w:rFonts w:ascii="宋体" w:hAnsi="宋体" w:cs="宋体"/>
          <w:sz w:val="24"/>
        </w:rPr>
      </w:pPr>
    </w:p>
    <w:p w14:paraId="6DABB433">
      <w:pPr>
        <w:spacing w:line="400" w:lineRule="exact"/>
        <w:ind w:firstLine="480" w:firstLineChars="200"/>
        <w:rPr>
          <w:rFonts w:ascii="宋体" w:hAnsi="宋体" w:cs="宋体"/>
          <w:sz w:val="24"/>
        </w:rPr>
      </w:pPr>
    </w:p>
    <w:p w14:paraId="3824203E">
      <w:pPr>
        <w:spacing w:line="400" w:lineRule="exact"/>
        <w:ind w:firstLine="480" w:firstLineChars="200"/>
        <w:rPr>
          <w:rFonts w:ascii="宋体" w:hAnsi="宋体" w:cs="宋体"/>
          <w:sz w:val="24"/>
        </w:rPr>
      </w:pPr>
      <w:r>
        <w:rPr>
          <w:rFonts w:hint="eastAsia" w:ascii="宋体" w:hAnsi="宋体" w:cs="宋体"/>
          <w:sz w:val="24"/>
        </w:rPr>
        <w:t xml:space="preserve">                                  供应商：（盖单位公章）</w:t>
      </w:r>
    </w:p>
    <w:p w14:paraId="1CCFA422">
      <w:pPr>
        <w:spacing w:line="400" w:lineRule="exact"/>
        <w:ind w:firstLine="480" w:firstLineChars="200"/>
        <w:rPr>
          <w:rFonts w:ascii="宋体" w:hAnsi="宋体" w:cs="宋体"/>
          <w:sz w:val="24"/>
        </w:rPr>
      </w:pPr>
      <w:r>
        <w:rPr>
          <w:rFonts w:hint="eastAsia" w:ascii="宋体" w:hAnsi="宋体" w:cs="宋体"/>
          <w:sz w:val="24"/>
        </w:rPr>
        <w:t xml:space="preserve">                                    </w:t>
      </w:r>
    </w:p>
    <w:p w14:paraId="0AC7BF3F">
      <w:pPr>
        <w:pStyle w:val="12"/>
        <w:ind w:firstLine="4080" w:firstLineChars="1700"/>
        <w:rPr>
          <w:rFonts w:ascii="宋体" w:hAnsi="宋体" w:cs="宋体"/>
        </w:rPr>
      </w:pPr>
      <w:r>
        <w:rPr>
          <w:rFonts w:hint="eastAsia" w:ascii="宋体" w:hAnsi="宋体" w:cs="宋体"/>
        </w:rPr>
        <w:t>日期：   年  月  日</w:t>
      </w:r>
    </w:p>
    <w:p w14:paraId="05022389"/>
    <w:p w14:paraId="1893E0C6"/>
    <w:p w14:paraId="6FDEACC2"/>
    <w:p w14:paraId="3A021E98"/>
    <w:p w14:paraId="3B999BB5"/>
    <w:p w14:paraId="2A64698D"/>
    <w:p w14:paraId="460BA451"/>
    <w:p w14:paraId="5FBE5495"/>
    <w:p w14:paraId="673AECDA"/>
    <w:p w14:paraId="27333214"/>
    <w:p w14:paraId="0D8B24C9"/>
    <w:p w14:paraId="17A36AE8"/>
    <w:p w14:paraId="76E83E24"/>
    <w:p w14:paraId="66B8351B"/>
    <w:p w14:paraId="507CF7A1"/>
    <w:p w14:paraId="44324BD5"/>
    <w:p w14:paraId="0D684C5C"/>
    <w:p w14:paraId="296A5A0D"/>
    <w:p w14:paraId="2FDD5662"/>
    <w:p w14:paraId="641AFADC"/>
    <w:p w14:paraId="00AD7490"/>
    <w:p w14:paraId="5860A5A5"/>
    <w:p w14:paraId="62BF7AE2"/>
    <w:p w14:paraId="7A7B804B"/>
    <w:p w14:paraId="6117B289"/>
    <w:p w14:paraId="2DD4EF26"/>
    <w:p w14:paraId="25795CB0">
      <w:pPr>
        <w:pStyle w:val="3"/>
        <w:tabs>
          <w:tab w:val="left" w:pos="720"/>
        </w:tabs>
        <w:jc w:val="center"/>
        <w:rPr>
          <w:rFonts w:ascii="宋体" w:hAnsi="宋体" w:eastAsia="宋体"/>
          <w:bCs w:val="0"/>
          <w:color w:val="000000" w:themeColor="text1"/>
          <w:sz w:val="30"/>
          <w:szCs w:val="30"/>
          <w14:textFill>
            <w14:solidFill>
              <w14:schemeClr w14:val="tx1"/>
            </w14:solidFill>
          </w14:textFill>
        </w:rPr>
      </w:pPr>
      <w:r>
        <w:rPr>
          <w:rFonts w:hint="eastAsia" w:ascii="宋体" w:hAnsi="宋体" w:eastAsia="宋体"/>
          <w:bCs w:val="0"/>
          <w:color w:val="000000" w:themeColor="text1"/>
          <w:sz w:val="30"/>
          <w:szCs w:val="30"/>
          <w14:textFill>
            <w14:solidFill>
              <w14:schemeClr w14:val="tx1"/>
            </w14:solidFill>
          </w14:textFill>
        </w:rPr>
        <w:t>七、其他证明文件</w:t>
      </w:r>
    </w:p>
    <w:p w14:paraId="070EEAE4"/>
    <w:p w14:paraId="646B0100"/>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黑体">
    <w:altName w:val="宋体"/>
    <w:panose1 w:val="00000000000000000000"/>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Microsoft YaHei ΢ȭхڢ  ڌ墠 ˎ̥">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010F">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90C6D6">
                          <w:pPr>
                            <w:pStyle w:val="15"/>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wps:txbx>
                    <wps:bodyPr wrap="none" lIns="0" tIns="0" rIns="0" bIns="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H1+Z8QBAACQAwAADgAAAGRycy9lMm9Eb2MueG1srVPNjtMwEL4j8Q6W&#10;79Rpk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TkWtAeHNMWLj0k1FHqKkYDqowmpYqb8Kf95L18CNt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1H1+Z8QBAACQAwAADgAAAAAAAAABACAAAAAeAQAAZHJzL2Uyb0RvYy54bWxQ&#10;SwUGAAAAAAYABgBZAQAAVAUAAAAA&#10;">
              <v:fill on="f" focussize="0,0"/>
              <v:stroke on="f"/>
              <v:imagedata o:title=""/>
              <o:lock v:ext="edit" aspectratio="f"/>
              <v:textbox inset="0mm,0mm,0mm,0mm" style="mso-fit-shape-to-text:t;">
                <w:txbxContent>
                  <w:p w14:paraId="2790C6D6">
                    <w:pPr>
                      <w:pStyle w:val="15"/>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v:textbox>
            </v:shape>
          </w:pict>
        </mc:Fallback>
      </mc:AlternateContent>
    </w:r>
  </w:p>
  <w:p w14:paraId="3DB44728">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BE4D3">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8A0BC"/>
    <w:multiLevelType w:val="singleLevel"/>
    <w:tmpl w:val="0AC8A0BC"/>
    <w:lvl w:ilvl="0" w:tentative="0">
      <w:start w:val="3"/>
      <w:numFmt w:val="decimal"/>
      <w:suff w:val="nothing"/>
      <w:lvlText w:val="（%1）"/>
      <w:lvlJc w:val="left"/>
    </w:lvl>
  </w:abstractNum>
  <w:abstractNum w:abstractNumId="1">
    <w:nsid w:val="54EE0810"/>
    <w:multiLevelType w:val="multilevel"/>
    <w:tmpl w:val="54EE081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7348FF"/>
    <w:multiLevelType w:val="singleLevel"/>
    <w:tmpl w:val="5F7348FF"/>
    <w:lvl w:ilvl="0" w:tentative="0">
      <w:start w:val="6"/>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ZjZhODQyZmU4ZTEwZDYzMGQ3NWZkMDI1ZTQyODEifQ=="/>
  </w:docVars>
  <w:rsids>
    <w:rsidRoot w:val="00883802"/>
    <w:rsid w:val="00053087"/>
    <w:rsid w:val="000652C2"/>
    <w:rsid w:val="00065BC2"/>
    <w:rsid w:val="00072811"/>
    <w:rsid w:val="00095634"/>
    <w:rsid w:val="000C53DC"/>
    <w:rsid w:val="000D0716"/>
    <w:rsid w:val="000D2537"/>
    <w:rsid w:val="000F049E"/>
    <w:rsid w:val="00102CC0"/>
    <w:rsid w:val="00120A27"/>
    <w:rsid w:val="001365C5"/>
    <w:rsid w:val="001526F1"/>
    <w:rsid w:val="00160A82"/>
    <w:rsid w:val="0016750F"/>
    <w:rsid w:val="00193CFB"/>
    <w:rsid w:val="0019551D"/>
    <w:rsid w:val="001A34DF"/>
    <w:rsid w:val="001F113F"/>
    <w:rsid w:val="0021298A"/>
    <w:rsid w:val="00217AD1"/>
    <w:rsid w:val="0022317F"/>
    <w:rsid w:val="0023345C"/>
    <w:rsid w:val="00257214"/>
    <w:rsid w:val="00257672"/>
    <w:rsid w:val="0026518B"/>
    <w:rsid w:val="002818BB"/>
    <w:rsid w:val="0029181F"/>
    <w:rsid w:val="002D1C4B"/>
    <w:rsid w:val="002D1F89"/>
    <w:rsid w:val="002E0542"/>
    <w:rsid w:val="002E07B1"/>
    <w:rsid w:val="002F2DF8"/>
    <w:rsid w:val="003010DF"/>
    <w:rsid w:val="00324DE9"/>
    <w:rsid w:val="00326111"/>
    <w:rsid w:val="00347624"/>
    <w:rsid w:val="00354744"/>
    <w:rsid w:val="003612D3"/>
    <w:rsid w:val="003933C5"/>
    <w:rsid w:val="0039416A"/>
    <w:rsid w:val="00394534"/>
    <w:rsid w:val="003D7A04"/>
    <w:rsid w:val="003F58AA"/>
    <w:rsid w:val="003F7E37"/>
    <w:rsid w:val="0041625A"/>
    <w:rsid w:val="00434E73"/>
    <w:rsid w:val="004371A6"/>
    <w:rsid w:val="00457C49"/>
    <w:rsid w:val="00461212"/>
    <w:rsid w:val="00462993"/>
    <w:rsid w:val="00465335"/>
    <w:rsid w:val="00471546"/>
    <w:rsid w:val="004930C1"/>
    <w:rsid w:val="00493B2E"/>
    <w:rsid w:val="004B48CF"/>
    <w:rsid w:val="004C2204"/>
    <w:rsid w:val="004E14C7"/>
    <w:rsid w:val="004E6E20"/>
    <w:rsid w:val="004F1FF4"/>
    <w:rsid w:val="004F5446"/>
    <w:rsid w:val="00556B69"/>
    <w:rsid w:val="005A07BE"/>
    <w:rsid w:val="005B2206"/>
    <w:rsid w:val="005C0F57"/>
    <w:rsid w:val="005D2B6A"/>
    <w:rsid w:val="005E7755"/>
    <w:rsid w:val="006072B1"/>
    <w:rsid w:val="00620F03"/>
    <w:rsid w:val="006666FE"/>
    <w:rsid w:val="00685884"/>
    <w:rsid w:val="0069449C"/>
    <w:rsid w:val="006B1AA1"/>
    <w:rsid w:val="006D16B1"/>
    <w:rsid w:val="006E4D7E"/>
    <w:rsid w:val="006F6C87"/>
    <w:rsid w:val="00707B6B"/>
    <w:rsid w:val="00732CC5"/>
    <w:rsid w:val="00734789"/>
    <w:rsid w:val="00735F71"/>
    <w:rsid w:val="007543FC"/>
    <w:rsid w:val="00760760"/>
    <w:rsid w:val="00763C65"/>
    <w:rsid w:val="00794A06"/>
    <w:rsid w:val="007A0459"/>
    <w:rsid w:val="007B082D"/>
    <w:rsid w:val="007B1D97"/>
    <w:rsid w:val="007C0F42"/>
    <w:rsid w:val="007F143B"/>
    <w:rsid w:val="007F285B"/>
    <w:rsid w:val="008018C1"/>
    <w:rsid w:val="00812CA4"/>
    <w:rsid w:val="00813C09"/>
    <w:rsid w:val="00813C31"/>
    <w:rsid w:val="00834F16"/>
    <w:rsid w:val="0085667D"/>
    <w:rsid w:val="00883802"/>
    <w:rsid w:val="008A16AA"/>
    <w:rsid w:val="008B59DC"/>
    <w:rsid w:val="008C1D2F"/>
    <w:rsid w:val="008D246C"/>
    <w:rsid w:val="0093318E"/>
    <w:rsid w:val="0094200C"/>
    <w:rsid w:val="00947CAF"/>
    <w:rsid w:val="00961FC6"/>
    <w:rsid w:val="00987584"/>
    <w:rsid w:val="009A2862"/>
    <w:rsid w:val="009A45E4"/>
    <w:rsid w:val="009B2C54"/>
    <w:rsid w:val="009C5E7F"/>
    <w:rsid w:val="009D129F"/>
    <w:rsid w:val="009E6DB6"/>
    <w:rsid w:val="00A00742"/>
    <w:rsid w:val="00A15374"/>
    <w:rsid w:val="00A21DC4"/>
    <w:rsid w:val="00A364C7"/>
    <w:rsid w:val="00A73697"/>
    <w:rsid w:val="00A9400A"/>
    <w:rsid w:val="00AC6739"/>
    <w:rsid w:val="00AD637F"/>
    <w:rsid w:val="00AE424D"/>
    <w:rsid w:val="00AF5BA7"/>
    <w:rsid w:val="00B009C2"/>
    <w:rsid w:val="00B01367"/>
    <w:rsid w:val="00B03CD6"/>
    <w:rsid w:val="00B041C3"/>
    <w:rsid w:val="00B41AC1"/>
    <w:rsid w:val="00B6679C"/>
    <w:rsid w:val="00BA64DE"/>
    <w:rsid w:val="00BA71D6"/>
    <w:rsid w:val="00BB201C"/>
    <w:rsid w:val="00BC3DC1"/>
    <w:rsid w:val="00BC5222"/>
    <w:rsid w:val="00BD3BE5"/>
    <w:rsid w:val="00BD5D0A"/>
    <w:rsid w:val="00BF24D1"/>
    <w:rsid w:val="00BF3E4F"/>
    <w:rsid w:val="00CA01F8"/>
    <w:rsid w:val="00D001C7"/>
    <w:rsid w:val="00D10106"/>
    <w:rsid w:val="00D37BA0"/>
    <w:rsid w:val="00DA1027"/>
    <w:rsid w:val="00DB2AE6"/>
    <w:rsid w:val="00DC084D"/>
    <w:rsid w:val="00E02123"/>
    <w:rsid w:val="00E024CA"/>
    <w:rsid w:val="00E100B1"/>
    <w:rsid w:val="00E12686"/>
    <w:rsid w:val="00E17B43"/>
    <w:rsid w:val="00E45942"/>
    <w:rsid w:val="00E47A62"/>
    <w:rsid w:val="00E66E77"/>
    <w:rsid w:val="00E71FF8"/>
    <w:rsid w:val="00EB4DD0"/>
    <w:rsid w:val="00EE23DA"/>
    <w:rsid w:val="00EE75CE"/>
    <w:rsid w:val="00EF0E6B"/>
    <w:rsid w:val="00EF1628"/>
    <w:rsid w:val="00F1349F"/>
    <w:rsid w:val="00F176D1"/>
    <w:rsid w:val="00F17A48"/>
    <w:rsid w:val="00F205E3"/>
    <w:rsid w:val="00F51F60"/>
    <w:rsid w:val="00F547B5"/>
    <w:rsid w:val="00F5659D"/>
    <w:rsid w:val="00F805B8"/>
    <w:rsid w:val="00F976E4"/>
    <w:rsid w:val="00FC73AD"/>
    <w:rsid w:val="00FD748E"/>
    <w:rsid w:val="00FE4EE4"/>
    <w:rsid w:val="00FE56D6"/>
    <w:rsid w:val="010158D6"/>
    <w:rsid w:val="01096A87"/>
    <w:rsid w:val="01280E0C"/>
    <w:rsid w:val="014131D5"/>
    <w:rsid w:val="01431E5A"/>
    <w:rsid w:val="015848D4"/>
    <w:rsid w:val="01A12483"/>
    <w:rsid w:val="01A93016"/>
    <w:rsid w:val="01B64BDB"/>
    <w:rsid w:val="01BC2A72"/>
    <w:rsid w:val="02072DB8"/>
    <w:rsid w:val="02236760"/>
    <w:rsid w:val="02434A78"/>
    <w:rsid w:val="02494A88"/>
    <w:rsid w:val="02907486"/>
    <w:rsid w:val="02AE3390"/>
    <w:rsid w:val="03154DCA"/>
    <w:rsid w:val="033942DC"/>
    <w:rsid w:val="03900DE4"/>
    <w:rsid w:val="03AB74CA"/>
    <w:rsid w:val="03D823BB"/>
    <w:rsid w:val="040556DD"/>
    <w:rsid w:val="040A141D"/>
    <w:rsid w:val="04673AA0"/>
    <w:rsid w:val="0481388E"/>
    <w:rsid w:val="04890B1E"/>
    <w:rsid w:val="04A65BE3"/>
    <w:rsid w:val="04C4783A"/>
    <w:rsid w:val="04D255A9"/>
    <w:rsid w:val="04D31A35"/>
    <w:rsid w:val="04F56C3A"/>
    <w:rsid w:val="052C361D"/>
    <w:rsid w:val="054C7D56"/>
    <w:rsid w:val="055F5EFE"/>
    <w:rsid w:val="057C0C00"/>
    <w:rsid w:val="057C4271"/>
    <w:rsid w:val="06087F2B"/>
    <w:rsid w:val="062343FD"/>
    <w:rsid w:val="062D2A69"/>
    <w:rsid w:val="06383A91"/>
    <w:rsid w:val="064740D1"/>
    <w:rsid w:val="06543A9C"/>
    <w:rsid w:val="0658617A"/>
    <w:rsid w:val="06727224"/>
    <w:rsid w:val="06A44E91"/>
    <w:rsid w:val="06D83691"/>
    <w:rsid w:val="06DB44D3"/>
    <w:rsid w:val="06E37497"/>
    <w:rsid w:val="06E84EC8"/>
    <w:rsid w:val="070F57BE"/>
    <w:rsid w:val="072E5B03"/>
    <w:rsid w:val="07310B96"/>
    <w:rsid w:val="07350C47"/>
    <w:rsid w:val="074D15BF"/>
    <w:rsid w:val="07577745"/>
    <w:rsid w:val="078132CC"/>
    <w:rsid w:val="078F4338"/>
    <w:rsid w:val="07B22E14"/>
    <w:rsid w:val="07DB298B"/>
    <w:rsid w:val="07FB6BDB"/>
    <w:rsid w:val="08184989"/>
    <w:rsid w:val="082616FB"/>
    <w:rsid w:val="08272A0D"/>
    <w:rsid w:val="0838123A"/>
    <w:rsid w:val="08455A3D"/>
    <w:rsid w:val="084E025D"/>
    <w:rsid w:val="08656380"/>
    <w:rsid w:val="087F3C33"/>
    <w:rsid w:val="089B6610"/>
    <w:rsid w:val="089D6AE8"/>
    <w:rsid w:val="08FA5A49"/>
    <w:rsid w:val="08FB41C0"/>
    <w:rsid w:val="09105F03"/>
    <w:rsid w:val="09452F98"/>
    <w:rsid w:val="09675FAB"/>
    <w:rsid w:val="09783679"/>
    <w:rsid w:val="09802E1B"/>
    <w:rsid w:val="09905257"/>
    <w:rsid w:val="09AA1703"/>
    <w:rsid w:val="09E41960"/>
    <w:rsid w:val="0A354590"/>
    <w:rsid w:val="0A802647"/>
    <w:rsid w:val="0AD95479"/>
    <w:rsid w:val="0B0062C7"/>
    <w:rsid w:val="0B10717F"/>
    <w:rsid w:val="0B8D7352"/>
    <w:rsid w:val="0BC637FF"/>
    <w:rsid w:val="0BF90E67"/>
    <w:rsid w:val="0C110323"/>
    <w:rsid w:val="0C911028"/>
    <w:rsid w:val="0C945850"/>
    <w:rsid w:val="0CE66615"/>
    <w:rsid w:val="0D0F7027"/>
    <w:rsid w:val="0D166DA1"/>
    <w:rsid w:val="0D1E18C5"/>
    <w:rsid w:val="0D26730C"/>
    <w:rsid w:val="0D367D08"/>
    <w:rsid w:val="0D3B34FF"/>
    <w:rsid w:val="0D594B2B"/>
    <w:rsid w:val="0D662507"/>
    <w:rsid w:val="0D6C7AF6"/>
    <w:rsid w:val="0D757966"/>
    <w:rsid w:val="0D8823CF"/>
    <w:rsid w:val="0D9A6A6A"/>
    <w:rsid w:val="0D9D621E"/>
    <w:rsid w:val="0DC75F6F"/>
    <w:rsid w:val="0DEB5189"/>
    <w:rsid w:val="0DF37345"/>
    <w:rsid w:val="0E103BF7"/>
    <w:rsid w:val="0E521E66"/>
    <w:rsid w:val="0E6050CE"/>
    <w:rsid w:val="0E833AB3"/>
    <w:rsid w:val="0E8C3103"/>
    <w:rsid w:val="0EC72DA1"/>
    <w:rsid w:val="0EDA0194"/>
    <w:rsid w:val="0EE72AC4"/>
    <w:rsid w:val="0F17700E"/>
    <w:rsid w:val="0F1A0B30"/>
    <w:rsid w:val="0F340693"/>
    <w:rsid w:val="0F8A6B48"/>
    <w:rsid w:val="0FC46A66"/>
    <w:rsid w:val="0FCC7539"/>
    <w:rsid w:val="0FCD6603"/>
    <w:rsid w:val="0FD03043"/>
    <w:rsid w:val="0FE731A3"/>
    <w:rsid w:val="0FF7559B"/>
    <w:rsid w:val="0FFC1742"/>
    <w:rsid w:val="10302171"/>
    <w:rsid w:val="10366AEA"/>
    <w:rsid w:val="103704F1"/>
    <w:rsid w:val="103B69A6"/>
    <w:rsid w:val="107909CA"/>
    <w:rsid w:val="10952F4E"/>
    <w:rsid w:val="1096549E"/>
    <w:rsid w:val="10966869"/>
    <w:rsid w:val="10A46BA1"/>
    <w:rsid w:val="10C80326"/>
    <w:rsid w:val="10D95C0E"/>
    <w:rsid w:val="110938CC"/>
    <w:rsid w:val="11812B0E"/>
    <w:rsid w:val="11A5146B"/>
    <w:rsid w:val="11B35A29"/>
    <w:rsid w:val="11BB65D9"/>
    <w:rsid w:val="11DF2144"/>
    <w:rsid w:val="11FC63BB"/>
    <w:rsid w:val="122B07F7"/>
    <w:rsid w:val="128331AB"/>
    <w:rsid w:val="12A56346"/>
    <w:rsid w:val="12BC34B2"/>
    <w:rsid w:val="12CD27A0"/>
    <w:rsid w:val="12FF60A0"/>
    <w:rsid w:val="1323126C"/>
    <w:rsid w:val="132E255A"/>
    <w:rsid w:val="13540D88"/>
    <w:rsid w:val="135F0638"/>
    <w:rsid w:val="138403CC"/>
    <w:rsid w:val="139008A5"/>
    <w:rsid w:val="139F49D5"/>
    <w:rsid w:val="13A24E78"/>
    <w:rsid w:val="13A973FF"/>
    <w:rsid w:val="13EF4382"/>
    <w:rsid w:val="13F65D68"/>
    <w:rsid w:val="13FC4D86"/>
    <w:rsid w:val="140C1DB5"/>
    <w:rsid w:val="145C25E7"/>
    <w:rsid w:val="145E7884"/>
    <w:rsid w:val="14636234"/>
    <w:rsid w:val="148F527B"/>
    <w:rsid w:val="149E2A54"/>
    <w:rsid w:val="14DE6E96"/>
    <w:rsid w:val="14E33B73"/>
    <w:rsid w:val="14EF0AF8"/>
    <w:rsid w:val="150D2643"/>
    <w:rsid w:val="15203443"/>
    <w:rsid w:val="155257A6"/>
    <w:rsid w:val="155C22DA"/>
    <w:rsid w:val="156B129E"/>
    <w:rsid w:val="161039EE"/>
    <w:rsid w:val="162F59C6"/>
    <w:rsid w:val="164C7637"/>
    <w:rsid w:val="165E0014"/>
    <w:rsid w:val="16AB2BD8"/>
    <w:rsid w:val="16BB2647"/>
    <w:rsid w:val="16CC6B84"/>
    <w:rsid w:val="16E32863"/>
    <w:rsid w:val="16FC411F"/>
    <w:rsid w:val="17126D40"/>
    <w:rsid w:val="171640EC"/>
    <w:rsid w:val="17223787"/>
    <w:rsid w:val="172A568F"/>
    <w:rsid w:val="17313190"/>
    <w:rsid w:val="173A7E69"/>
    <w:rsid w:val="175E6D42"/>
    <w:rsid w:val="177B707C"/>
    <w:rsid w:val="17913866"/>
    <w:rsid w:val="17F46A86"/>
    <w:rsid w:val="18625302"/>
    <w:rsid w:val="18781758"/>
    <w:rsid w:val="189C01A1"/>
    <w:rsid w:val="18B16469"/>
    <w:rsid w:val="18F23704"/>
    <w:rsid w:val="19080ECC"/>
    <w:rsid w:val="191E258D"/>
    <w:rsid w:val="193E6325"/>
    <w:rsid w:val="1981099C"/>
    <w:rsid w:val="19A77D08"/>
    <w:rsid w:val="19AD15D3"/>
    <w:rsid w:val="19AD24F7"/>
    <w:rsid w:val="19C47A98"/>
    <w:rsid w:val="19CB53EE"/>
    <w:rsid w:val="19D52DA9"/>
    <w:rsid w:val="19D94A7A"/>
    <w:rsid w:val="19FB3306"/>
    <w:rsid w:val="19FE5E94"/>
    <w:rsid w:val="1A0C0F07"/>
    <w:rsid w:val="1A282284"/>
    <w:rsid w:val="1A31051D"/>
    <w:rsid w:val="1A4C7C7E"/>
    <w:rsid w:val="1A543293"/>
    <w:rsid w:val="1A5F3393"/>
    <w:rsid w:val="1A6053C5"/>
    <w:rsid w:val="1A6658E2"/>
    <w:rsid w:val="1A77671D"/>
    <w:rsid w:val="1A7A6085"/>
    <w:rsid w:val="1A844216"/>
    <w:rsid w:val="1B1B5515"/>
    <w:rsid w:val="1B4321CB"/>
    <w:rsid w:val="1B581EBA"/>
    <w:rsid w:val="1B5D0E06"/>
    <w:rsid w:val="1B5F3DFE"/>
    <w:rsid w:val="1B9B2757"/>
    <w:rsid w:val="1BBB6906"/>
    <w:rsid w:val="1BF2490F"/>
    <w:rsid w:val="1C2A5739"/>
    <w:rsid w:val="1C423DE0"/>
    <w:rsid w:val="1C4A781C"/>
    <w:rsid w:val="1C5F4201"/>
    <w:rsid w:val="1C7D2794"/>
    <w:rsid w:val="1C891E2C"/>
    <w:rsid w:val="1C915908"/>
    <w:rsid w:val="1CBF0D85"/>
    <w:rsid w:val="1CC57A9E"/>
    <w:rsid w:val="1CFE5545"/>
    <w:rsid w:val="1D2B03E0"/>
    <w:rsid w:val="1D57136C"/>
    <w:rsid w:val="1D6F0B63"/>
    <w:rsid w:val="1D7839D0"/>
    <w:rsid w:val="1DC73EB7"/>
    <w:rsid w:val="1DD72297"/>
    <w:rsid w:val="1DE4376D"/>
    <w:rsid w:val="1DE71C87"/>
    <w:rsid w:val="1E2D0EEF"/>
    <w:rsid w:val="1E32529F"/>
    <w:rsid w:val="1E4708F1"/>
    <w:rsid w:val="1E566E09"/>
    <w:rsid w:val="1E57654E"/>
    <w:rsid w:val="1E86428B"/>
    <w:rsid w:val="1E90494E"/>
    <w:rsid w:val="1E993CE8"/>
    <w:rsid w:val="1F0F7DF7"/>
    <w:rsid w:val="1F3E33F2"/>
    <w:rsid w:val="1F3F7703"/>
    <w:rsid w:val="1F4629DA"/>
    <w:rsid w:val="1F97386F"/>
    <w:rsid w:val="1FB6711B"/>
    <w:rsid w:val="1FBF0E34"/>
    <w:rsid w:val="1FBF5DB8"/>
    <w:rsid w:val="1FF22CB3"/>
    <w:rsid w:val="200728AB"/>
    <w:rsid w:val="205904EB"/>
    <w:rsid w:val="20CD58C1"/>
    <w:rsid w:val="20D64231"/>
    <w:rsid w:val="210B7BEF"/>
    <w:rsid w:val="211014F1"/>
    <w:rsid w:val="211C3AF2"/>
    <w:rsid w:val="214B31E4"/>
    <w:rsid w:val="216C3C3D"/>
    <w:rsid w:val="218435BE"/>
    <w:rsid w:val="21933D57"/>
    <w:rsid w:val="21A021EC"/>
    <w:rsid w:val="21A31362"/>
    <w:rsid w:val="21B00F19"/>
    <w:rsid w:val="228536D9"/>
    <w:rsid w:val="22855B2C"/>
    <w:rsid w:val="22BA7BFC"/>
    <w:rsid w:val="22C4236D"/>
    <w:rsid w:val="22C4344D"/>
    <w:rsid w:val="22C761FF"/>
    <w:rsid w:val="22DB6C9B"/>
    <w:rsid w:val="22F07298"/>
    <w:rsid w:val="23425C85"/>
    <w:rsid w:val="237E433A"/>
    <w:rsid w:val="23840D90"/>
    <w:rsid w:val="23B61805"/>
    <w:rsid w:val="23CC3C8A"/>
    <w:rsid w:val="23D50095"/>
    <w:rsid w:val="23E57DFC"/>
    <w:rsid w:val="241E296D"/>
    <w:rsid w:val="24284DA4"/>
    <w:rsid w:val="24312DFA"/>
    <w:rsid w:val="24546538"/>
    <w:rsid w:val="248F4F7A"/>
    <w:rsid w:val="249B37C8"/>
    <w:rsid w:val="24A93ECC"/>
    <w:rsid w:val="24F15267"/>
    <w:rsid w:val="24FC1EDB"/>
    <w:rsid w:val="25343293"/>
    <w:rsid w:val="25451500"/>
    <w:rsid w:val="256911D0"/>
    <w:rsid w:val="25701F5A"/>
    <w:rsid w:val="25C5069E"/>
    <w:rsid w:val="25F55B4A"/>
    <w:rsid w:val="260F5B77"/>
    <w:rsid w:val="262C06DB"/>
    <w:rsid w:val="263A48AD"/>
    <w:rsid w:val="267C4A2D"/>
    <w:rsid w:val="26A816DC"/>
    <w:rsid w:val="26BE5446"/>
    <w:rsid w:val="26D27695"/>
    <w:rsid w:val="26EC19D3"/>
    <w:rsid w:val="270776E3"/>
    <w:rsid w:val="271B048F"/>
    <w:rsid w:val="27846795"/>
    <w:rsid w:val="27863AF5"/>
    <w:rsid w:val="27B0166B"/>
    <w:rsid w:val="27DB576B"/>
    <w:rsid w:val="285D3A81"/>
    <w:rsid w:val="28990FF3"/>
    <w:rsid w:val="28997164"/>
    <w:rsid w:val="28A06A79"/>
    <w:rsid w:val="28BB0F86"/>
    <w:rsid w:val="28E25F9A"/>
    <w:rsid w:val="28EB6C0A"/>
    <w:rsid w:val="28EF2A5A"/>
    <w:rsid w:val="28FC1110"/>
    <w:rsid w:val="29051F45"/>
    <w:rsid w:val="29081B5B"/>
    <w:rsid w:val="29512E02"/>
    <w:rsid w:val="29541A77"/>
    <w:rsid w:val="29900EC5"/>
    <w:rsid w:val="29F25659"/>
    <w:rsid w:val="2A1C6152"/>
    <w:rsid w:val="2A223C26"/>
    <w:rsid w:val="2A342274"/>
    <w:rsid w:val="2A352844"/>
    <w:rsid w:val="2A43781E"/>
    <w:rsid w:val="2A524621"/>
    <w:rsid w:val="2A587D34"/>
    <w:rsid w:val="2ACA491E"/>
    <w:rsid w:val="2AE47B1C"/>
    <w:rsid w:val="2AEB78B1"/>
    <w:rsid w:val="2B347656"/>
    <w:rsid w:val="2B3534D6"/>
    <w:rsid w:val="2B375B56"/>
    <w:rsid w:val="2B577511"/>
    <w:rsid w:val="2BBF1D58"/>
    <w:rsid w:val="2BD575BF"/>
    <w:rsid w:val="2BE452D0"/>
    <w:rsid w:val="2C2063A3"/>
    <w:rsid w:val="2C3760C1"/>
    <w:rsid w:val="2C501B96"/>
    <w:rsid w:val="2C5260B2"/>
    <w:rsid w:val="2C575B9A"/>
    <w:rsid w:val="2CAF6062"/>
    <w:rsid w:val="2CFF5A42"/>
    <w:rsid w:val="2D017F75"/>
    <w:rsid w:val="2D0756BA"/>
    <w:rsid w:val="2D0F53B5"/>
    <w:rsid w:val="2D446479"/>
    <w:rsid w:val="2D4C1F8D"/>
    <w:rsid w:val="2D6156C2"/>
    <w:rsid w:val="2D901BC1"/>
    <w:rsid w:val="2D9E0EF7"/>
    <w:rsid w:val="2DC34BBE"/>
    <w:rsid w:val="2DCC3ABE"/>
    <w:rsid w:val="2DD32827"/>
    <w:rsid w:val="2DF4223A"/>
    <w:rsid w:val="2DFE56EA"/>
    <w:rsid w:val="2E346178"/>
    <w:rsid w:val="2E5C75D3"/>
    <w:rsid w:val="2E725599"/>
    <w:rsid w:val="2E7375FD"/>
    <w:rsid w:val="2E772BB0"/>
    <w:rsid w:val="2E8724D1"/>
    <w:rsid w:val="2EA51EF7"/>
    <w:rsid w:val="2EAA7F08"/>
    <w:rsid w:val="2ECC60A1"/>
    <w:rsid w:val="2EE73454"/>
    <w:rsid w:val="2EFB741B"/>
    <w:rsid w:val="2F2148C9"/>
    <w:rsid w:val="2F3E45AB"/>
    <w:rsid w:val="2F5E29EE"/>
    <w:rsid w:val="2F5E3A24"/>
    <w:rsid w:val="2F8103DD"/>
    <w:rsid w:val="2FA7478C"/>
    <w:rsid w:val="2FF7656F"/>
    <w:rsid w:val="2FF94013"/>
    <w:rsid w:val="300A25E7"/>
    <w:rsid w:val="303706C7"/>
    <w:rsid w:val="30446363"/>
    <w:rsid w:val="30715013"/>
    <w:rsid w:val="307954F7"/>
    <w:rsid w:val="307A1232"/>
    <w:rsid w:val="307C20A4"/>
    <w:rsid w:val="30BC7A89"/>
    <w:rsid w:val="30CD0398"/>
    <w:rsid w:val="30D449C0"/>
    <w:rsid w:val="30D811DF"/>
    <w:rsid w:val="30F67C5E"/>
    <w:rsid w:val="30F8655D"/>
    <w:rsid w:val="31062BC9"/>
    <w:rsid w:val="3112287E"/>
    <w:rsid w:val="31257BB4"/>
    <w:rsid w:val="3145624A"/>
    <w:rsid w:val="31881934"/>
    <w:rsid w:val="31942C3A"/>
    <w:rsid w:val="31C5055E"/>
    <w:rsid w:val="31D07594"/>
    <w:rsid w:val="31DA3232"/>
    <w:rsid w:val="324D7782"/>
    <w:rsid w:val="327813EC"/>
    <w:rsid w:val="32895E4B"/>
    <w:rsid w:val="328B5941"/>
    <w:rsid w:val="329063EA"/>
    <w:rsid w:val="32A0431B"/>
    <w:rsid w:val="32BB3A0C"/>
    <w:rsid w:val="332D5E21"/>
    <w:rsid w:val="332F3125"/>
    <w:rsid w:val="333F7491"/>
    <w:rsid w:val="336C2779"/>
    <w:rsid w:val="337320B5"/>
    <w:rsid w:val="338C07E3"/>
    <w:rsid w:val="339F01E6"/>
    <w:rsid w:val="33C95C9A"/>
    <w:rsid w:val="342A7681"/>
    <w:rsid w:val="34461983"/>
    <w:rsid w:val="34700447"/>
    <w:rsid w:val="347D17DF"/>
    <w:rsid w:val="34B652C2"/>
    <w:rsid w:val="34DA58AB"/>
    <w:rsid w:val="35321309"/>
    <w:rsid w:val="353C3CA0"/>
    <w:rsid w:val="35452778"/>
    <w:rsid w:val="35490F9F"/>
    <w:rsid w:val="355709E8"/>
    <w:rsid w:val="355A5ECC"/>
    <w:rsid w:val="356118E4"/>
    <w:rsid w:val="357E6A53"/>
    <w:rsid w:val="358165B1"/>
    <w:rsid w:val="35AD4679"/>
    <w:rsid w:val="35B821AB"/>
    <w:rsid w:val="35E66125"/>
    <w:rsid w:val="35E7410C"/>
    <w:rsid w:val="35F06D4D"/>
    <w:rsid w:val="35F9689A"/>
    <w:rsid w:val="36386FD0"/>
    <w:rsid w:val="363B2A71"/>
    <w:rsid w:val="364B744E"/>
    <w:rsid w:val="364D65F3"/>
    <w:rsid w:val="36757194"/>
    <w:rsid w:val="36935A6F"/>
    <w:rsid w:val="369F0C4E"/>
    <w:rsid w:val="36F2032A"/>
    <w:rsid w:val="36FD1D0F"/>
    <w:rsid w:val="37126A74"/>
    <w:rsid w:val="372D7233"/>
    <w:rsid w:val="372E0E0D"/>
    <w:rsid w:val="37423F41"/>
    <w:rsid w:val="377E16AD"/>
    <w:rsid w:val="37C6482E"/>
    <w:rsid w:val="37CD6BD4"/>
    <w:rsid w:val="37D0188F"/>
    <w:rsid w:val="37DE03D9"/>
    <w:rsid w:val="37E32328"/>
    <w:rsid w:val="38206A34"/>
    <w:rsid w:val="38462D97"/>
    <w:rsid w:val="388A33AA"/>
    <w:rsid w:val="38934FF2"/>
    <w:rsid w:val="38BC3876"/>
    <w:rsid w:val="38F136FA"/>
    <w:rsid w:val="38FA4838"/>
    <w:rsid w:val="3909140A"/>
    <w:rsid w:val="391A0D07"/>
    <w:rsid w:val="393D6182"/>
    <w:rsid w:val="396D47AC"/>
    <w:rsid w:val="398505BC"/>
    <w:rsid w:val="398C2075"/>
    <w:rsid w:val="399D36E6"/>
    <w:rsid w:val="39A11BAE"/>
    <w:rsid w:val="39EA485B"/>
    <w:rsid w:val="39F7774B"/>
    <w:rsid w:val="3A002B4F"/>
    <w:rsid w:val="3A0C4B6B"/>
    <w:rsid w:val="3A17793A"/>
    <w:rsid w:val="3A3905FC"/>
    <w:rsid w:val="3A395F43"/>
    <w:rsid w:val="3A5F6E5C"/>
    <w:rsid w:val="3AAA37A7"/>
    <w:rsid w:val="3ADB660C"/>
    <w:rsid w:val="3AF50BF3"/>
    <w:rsid w:val="3B190449"/>
    <w:rsid w:val="3B1E3F0D"/>
    <w:rsid w:val="3B2A46EA"/>
    <w:rsid w:val="3B2C2F74"/>
    <w:rsid w:val="3BD6395E"/>
    <w:rsid w:val="3BFC15F6"/>
    <w:rsid w:val="3C0108D8"/>
    <w:rsid w:val="3C21415B"/>
    <w:rsid w:val="3C3D7632"/>
    <w:rsid w:val="3C532336"/>
    <w:rsid w:val="3C611EA6"/>
    <w:rsid w:val="3C7049A4"/>
    <w:rsid w:val="3C745CEE"/>
    <w:rsid w:val="3C7A625C"/>
    <w:rsid w:val="3CAA01F4"/>
    <w:rsid w:val="3D5F2B33"/>
    <w:rsid w:val="3D72709A"/>
    <w:rsid w:val="3D940CE8"/>
    <w:rsid w:val="3DE17068"/>
    <w:rsid w:val="3E1A3557"/>
    <w:rsid w:val="3E2A7647"/>
    <w:rsid w:val="3E650ED7"/>
    <w:rsid w:val="3E9662E5"/>
    <w:rsid w:val="3EA570F0"/>
    <w:rsid w:val="3ED560F8"/>
    <w:rsid w:val="3EDC080D"/>
    <w:rsid w:val="3F187B95"/>
    <w:rsid w:val="3F1A7F8F"/>
    <w:rsid w:val="3F2521B4"/>
    <w:rsid w:val="3F4F73AD"/>
    <w:rsid w:val="3F5A3DF7"/>
    <w:rsid w:val="3F5D600B"/>
    <w:rsid w:val="3F731171"/>
    <w:rsid w:val="3F7B79AF"/>
    <w:rsid w:val="3FBA775F"/>
    <w:rsid w:val="400207BF"/>
    <w:rsid w:val="40024658"/>
    <w:rsid w:val="40055D2D"/>
    <w:rsid w:val="40337189"/>
    <w:rsid w:val="40595C7C"/>
    <w:rsid w:val="40665046"/>
    <w:rsid w:val="40714069"/>
    <w:rsid w:val="40C73047"/>
    <w:rsid w:val="40F77E24"/>
    <w:rsid w:val="411F05EE"/>
    <w:rsid w:val="41265DD4"/>
    <w:rsid w:val="41C958D4"/>
    <w:rsid w:val="41D60FC4"/>
    <w:rsid w:val="41DE7E93"/>
    <w:rsid w:val="41E46210"/>
    <w:rsid w:val="41E65BE4"/>
    <w:rsid w:val="421B7468"/>
    <w:rsid w:val="42254682"/>
    <w:rsid w:val="42285B2B"/>
    <w:rsid w:val="423050F8"/>
    <w:rsid w:val="423C52A0"/>
    <w:rsid w:val="424D1911"/>
    <w:rsid w:val="428E1B97"/>
    <w:rsid w:val="429E5970"/>
    <w:rsid w:val="42B25C53"/>
    <w:rsid w:val="42FF58DF"/>
    <w:rsid w:val="4315130C"/>
    <w:rsid w:val="433B01F8"/>
    <w:rsid w:val="433B7EE5"/>
    <w:rsid w:val="433D79B6"/>
    <w:rsid w:val="43644D9B"/>
    <w:rsid w:val="436C74AA"/>
    <w:rsid w:val="4386729B"/>
    <w:rsid w:val="441E028C"/>
    <w:rsid w:val="44273883"/>
    <w:rsid w:val="442E3818"/>
    <w:rsid w:val="44307631"/>
    <w:rsid w:val="44482225"/>
    <w:rsid w:val="444D783B"/>
    <w:rsid w:val="445054A6"/>
    <w:rsid w:val="445C734B"/>
    <w:rsid w:val="44916845"/>
    <w:rsid w:val="44986B12"/>
    <w:rsid w:val="44F8743E"/>
    <w:rsid w:val="45177C8F"/>
    <w:rsid w:val="451F7371"/>
    <w:rsid w:val="4521432F"/>
    <w:rsid w:val="455E4902"/>
    <w:rsid w:val="45976743"/>
    <w:rsid w:val="45B67258"/>
    <w:rsid w:val="45C57836"/>
    <w:rsid w:val="45E32A93"/>
    <w:rsid w:val="45FA43F6"/>
    <w:rsid w:val="4604089C"/>
    <w:rsid w:val="46044D9A"/>
    <w:rsid w:val="463F35A7"/>
    <w:rsid w:val="464253F9"/>
    <w:rsid w:val="467308D2"/>
    <w:rsid w:val="468425B0"/>
    <w:rsid w:val="46897C8D"/>
    <w:rsid w:val="46A22382"/>
    <w:rsid w:val="46A4588C"/>
    <w:rsid w:val="46C2744B"/>
    <w:rsid w:val="46E00BBB"/>
    <w:rsid w:val="46EB61CC"/>
    <w:rsid w:val="46F87635"/>
    <w:rsid w:val="47074014"/>
    <w:rsid w:val="47111948"/>
    <w:rsid w:val="471A0088"/>
    <w:rsid w:val="47397655"/>
    <w:rsid w:val="47764203"/>
    <w:rsid w:val="47CF113D"/>
    <w:rsid w:val="481001B5"/>
    <w:rsid w:val="48123B77"/>
    <w:rsid w:val="4825229D"/>
    <w:rsid w:val="48254B4C"/>
    <w:rsid w:val="48321EF1"/>
    <w:rsid w:val="48394B9D"/>
    <w:rsid w:val="487B6A5B"/>
    <w:rsid w:val="488F5DBE"/>
    <w:rsid w:val="48B52A1F"/>
    <w:rsid w:val="48C77FB2"/>
    <w:rsid w:val="48ED717F"/>
    <w:rsid w:val="49100C55"/>
    <w:rsid w:val="49337D86"/>
    <w:rsid w:val="493F66D6"/>
    <w:rsid w:val="49490BDB"/>
    <w:rsid w:val="494B4616"/>
    <w:rsid w:val="495042D1"/>
    <w:rsid w:val="496A4842"/>
    <w:rsid w:val="496C09EB"/>
    <w:rsid w:val="49A32D66"/>
    <w:rsid w:val="49AC44BC"/>
    <w:rsid w:val="49B35E40"/>
    <w:rsid w:val="49CC5C92"/>
    <w:rsid w:val="49CF0E6C"/>
    <w:rsid w:val="49E113CD"/>
    <w:rsid w:val="49F55BE8"/>
    <w:rsid w:val="4A0F28AF"/>
    <w:rsid w:val="4A1F6193"/>
    <w:rsid w:val="4A2D06FD"/>
    <w:rsid w:val="4A522537"/>
    <w:rsid w:val="4A7D3570"/>
    <w:rsid w:val="4A830E6E"/>
    <w:rsid w:val="4AA8697E"/>
    <w:rsid w:val="4ABF170F"/>
    <w:rsid w:val="4B073ED6"/>
    <w:rsid w:val="4B2914E4"/>
    <w:rsid w:val="4B656E57"/>
    <w:rsid w:val="4B693C28"/>
    <w:rsid w:val="4B710385"/>
    <w:rsid w:val="4B75001F"/>
    <w:rsid w:val="4BA02EE5"/>
    <w:rsid w:val="4BB3799F"/>
    <w:rsid w:val="4BCB5F69"/>
    <w:rsid w:val="4BE7084C"/>
    <w:rsid w:val="4C007F79"/>
    <w:rsid w:val="4C0502CF"/>
    <w:rsid w:val="4C1D6AF1"/>
    <w:rsid w:val="4C23530E"/>
    <w:rsid w:val="4C407583"/>
    <w:rsid w:val="4C6E02D7"/>
    <w:rsid w:val="4C726809"/>
    <w:rsid w:val="4C841B30"/>
    <w:rsid w:val="4CB132D9"/>
    <w:rsid w:val="4D193CAF"/>
    <w:rsid w:val="4D3C5485"/>
    <w:rsid w:val="4D745D09"/>
    <w:rsid w:val="4D852DE3"/>
    <w:rsid w:val="4D911988"/>
    <w:rsid w:val="4D9F716F"/>
    <w:rsid w:val="4E2711D8"/>
    <w:rsid w:val="4E671F3A"/>
    <w:rsid w:val="4E797184"/>
    <w:rsid w:val="4E924F42"/>
    <w:rsid w:val="4E9951BA"/>
    <w:rsid w:val="4EA254A4"/>
    <w:rsid w:val="4EA824BA"/>
    <w:rsid w:val="4EC1564B"/>
    <w:rsid w:val="4EE620DE"/>
    <w:rsid w:val="4EED3793"/>
    <w:rsid w:val="4F055CF9"/>
    <w:rsid w:val="4F0B7B27"/>
    <w:rsid w:val="4F1839F2"/>
    <w:rsid w:val="4F367E12"/>
    <w:rsid w:val="4F431526"/>
    <w:rsid w:val="4F4A2024"/>
    <w:rsid w:val="4F756D02"/>
    <w:rsid w:val="4F9061EA"/>
    <w:rsid w:val="4F94444F"/>
    <w:rsid w:val="4FA61DEA"/>
    <w:rsid w:val="4FC413DC"/>
    <w:rsid w:val="4FDD1DCF"/>
    <w:rsid w:val="4FE0265A"/>
    <w:rsid w:val="4FF77029"/>
    <w:rsid w:val="4FFA6D45"/>
    <w:rsid w:val="4FFF7AF5"/>
    <w:rsid w:val="50164D41"/>
    <w:rsid w:val="50194E2D"/>
    <w:rsid w:val="502F03D8"/>
    <w:rsid w:val="506F1664"/>
    <w:rsid w:val="50B36A19"/>
    <w:rsid w:val="50C64663"/>
    <w:rsid w:val="50D318F9"/>
    <w:rsid w:val="50E84912"/>
    <w:rsid w:val="510B2CBC"/>
    <w:rsid w:val="51143457"/>
    <w:rsid w:val="51385D77"/>
    <w:rsid w:val="513D37C4"/>
    <w:rsid w:val="51867415"/>
    <w:rsid w:val="51911A3A"/>
    <w:rsid w:val="51BA00DB"/>
    <w:rsid w:val="51C441EB"/>
    <w:rsid w:val="51C73257"/>
    <w:rsid w:val="51E72F87"/>
    <w:rsid w:val="520A1781"/>
    <w:rsid w:val="523C1329"/>
    <w:rsid w:val="52495E3E"/>
    <w:rsid w:val="526A39BD"/>
    <w:rsid w:val="52A64F62"/>
    <w:rsid w:val="52B76C39"/>
    <w:rsid w:val="52C71721"/>
    <w:rsid w:val="52CD2C84"/>
    <w:rsid w:val="52E13827"/>
    <w:rsid w:val="52F153D4"/>
    <w:rsid w:val="53000B16"/>
    <w:rsid w:val="530F2B07"/>
    <w:rsid w:val="532C190B"/>
    <w:rsid w:val="53480090"/>
    <w:rsid w:val="53862DA3"/>
    <w:rsid w:val="53913F7A"/>
    <w:rsid w:val="5397704D"/>
    <w:rsid w:val="53DB0C3B"/>
    <w:rsid w:val="53DF7B39"/>
    <w:rsid w:val="54103080"/>
    <w:rsid w:val="546B7E07"/>
    <w:rsid w:val="546D247B"/>
    <w:rsid w:val="54772420"/>
    <w:rsid w:val="548B037E"/>
    <w:rsid w:val="549D0BAE"/>
    <w:rsid w:val="54A54E4B"/>
    <w:rsid w:val="54A820FE"/>
    <w:rsid w:val="54B7394A"/>
    <w:rsid w:val="54C60B7B"/>
    <w:rsid w:val="54D77655"/>
    <w:rsid w:val="54DA421C"/>
    <w:rsid w:val="54F16D4F"/>
    <w:rsid w:val="55323BF0"/>
    <w:rsid w:val="55603AEE"/>
    <w:rsid w:val="556610EE"/>
    <w:rsid w:val="556C298E"/>
    <w:rsid w:val="55A424A7"/>
    <w:rsid w:val="565D0D52"/>
    <w:rsid w:val="566320B3"/>
    <w:rsid w:val="56972A2E"/>
    <w:rsid w:val="56BA387C"/>
    <w:rsid w:val="56E154DC"/>
    <w:rsid w:val="56E91664"/>
    <w:rsid w:val="573D187F"/>
    <w:rsid w:val="573F03F9"/>
    <w:rsid w:val="575644B8"/>
    <w:rsid w:val="57620046"/>
    <w:rsid w:val="577D0F23"/>
    <w:rsid w:val="57940293"/>
    <w:rsid w:val="579C75C7"/>
    <w:rsid w:val="57A811DF"/>
    <w:rsid w:val="57B73282"/>
    <w:rsid w:val="57C206DE"/>
    <w:rsid w:val="57ED4075"/>
    <w:rsid w:val="580421BF"/>
    <w:rsid w:val="58065AE0"/>
    <w:rsid w:val="58191794"/>
    <w:rsid w:val="58550800"/>
    <w:rsid w:val="58613B43"/>
    <w:rsid w:val="587E6E20"/>
    <w:rsid w:val="588B2734"/>
    <w:rsid w:val="588E76E9"/>
    <w:rsid w:val="58B826FC"/>
    <w:rsid w:val="58BA6306"/>
    <w:rsid w:val="58BD06C7"/>
    <w:rsid w:val="58C53667"/>
    <w:rsid w:val="58C6669E"/>
    <w:rsid w:val="58E153E8"/>
    <w:rsid w:val="59197A62"/>
    <w:rsid w:val="59220B6D"/>
    <w:rsid w:val="593A1687"/>
    <w:rsid w:val="59456ECB"/>
    <w:rsid w:val="599F1E31"/>
    <w:rsid w:val="59A568B8"/>
    <w:rsid w:val="59E736B3"/>
    <w:rsid w:val="5A05151A"/>
    <w:rsid w:val="5A3023B2"/>
    <w:rsid w:val="5A3518CA"/>
    <w:rsid w:val="5A574BC0"/>
    <w:rsid w:val="5A6A4AC7"/>
    <w:rsid w:val="5A6B3E26"/>
    <w:rsid w:val="5A761D4F"/>
    <w:rsid w:val="5A7B1F09"/>
    <w:rsid w:val="5A801683"/>
    <w:rsid w:val="5A854B4E"/>
    <w:rsid w:val="5AA75F24"/>
    <w:rsid w:val="5ABC7D44"/>
    <w:rsid w:val="5AE14EF2"/>
    <w:rsid w:val="5AF12161"/>
    <w:rsid w:val="5AF25A15"/>
    <w:rsid w:val="5B0E642C"/>
    <w:rsid w:val="5B237CF4"/>
    <w:rsid w:val="5B2D5E4C"/>
    <w:rsid w:val="5B5F6B26"/>
    <w:rsid w:val="5BAD07CD"/>
    <w:rsid w:val="5BB93ADC"/>
    <w:rsid w:val="5BEA41AB"/>
    <w:rsid w:val="5BF65EF6"/>
    <w:rsid w:val="5BFC5F87"/>
    <w:rsid w:val="5C0A5280"/>
    <w:rsid w:val="5C213ABF"/>
    <w:rsid w:val="5C337D87"/>
    <w:rsid w:val="5C423636"/>
    <w:rsid w:val="5C433F31"/>
    <w:rsid w:val="5C9235FA"/>
    <w:rsid w:val="5C9C7A83"/>
    <w:rsid w:val="5CB17A91"/>
    <w:rsid w:val="5CED7BD6"/>
    <w:rsid w:val="5CF76AE6"/>
    <w:rsid w:val="5D081D6A"/>
    <w:rsid w:val="5D1032D5"/>
    <w:rsid w:val="5D2D17C6"/>
    <w:rsid w:val="5D430DA1"/>
    <w:rsid w:val="5D443802"/>
    <w:rsid w:val="5D917A3A"/>
    <w:rsid w:val="5D970A80"/>
    <w:rsid w:val="5DA22CE9"/>
    <w:rsid w:val="5DCA2D0B"/>
    <w:rsid w:val="5DCB74C3"/>
    <w:rsid w:val="5DFB459D"/>
    <w:rsid w:val="5E0438AB"/>
    <w:rsid w:val="5E07285D"/>
    <w:rsid w:val="5E216A65"/>
    <w:rsid w:val="5E295B96"/>
    <w:rsid w:val="5E4340CA"/>
    <w:rsid w:val="5E7F14C4"/>
    <w:rsid w:val="5E8326B9"/>
    <w:rsid w:val="5E9A6442"/>
    <w:rsid w:val="5ED716F5"/>
    <w:rsid w:val="5F067B72"/>
    <w:rsid w:val="5F1857ED"/>
    <w:rsid w:val="5F4D6EF8"/>
    <w:rsid w:val="5F7F0439"/>
    <w:rsid w:val="5FB213EA"/>
    <w:rsid w:val="5FC662DC"/>
    <w:rsid w:val="600E11DD"/>
    <w:rsid w:val="601F0A72"/>
    <w:rsid w:val="60292B64"/>
    <w:rsid w:val="603B7AB5"/>
    <w:rsid w:val="605129B1"/>
    <w:rsid w:val="60573159"/>
    <w:rsid w:val="60625A18"/>
    <w:rsid w:val="607641C6"/>
    <w:rsid w:val="60957DE9"/>
    <w:rsid w:val="60C9505D"/>
    <w:rsid w:val="611660D0"/>
    <w:rsid w:val="61206281"/>
    <w:rsid w:val="613B1EA4"/>
    <w:rsid w:val="616D1376"/>
    <w:rsid w:val="617C26C6"/>
    <w:rsid w:val="617D4845"/>
    <w:rsid w:val="61AD5D48"/>
    <w:rsid w:val="61E919B9"/>
    <w:rsid w:val="620562E4"/>
    <w:rsid w:val="621535B9"/>
    <w:rsid w:val="62513367"/>
    <w:rsid w:val="626A5337"/>
    <w:rsid w:val="62834FAC"/>
    <w:rsid w:val="62847F29"/>
    <w:rsid w:val="62A13F4D"/>
    <w:rsid w:val="62B637F2"/>
    <w:rsid w:val="62D548A2"/>
    <w:rsid w:val="63190EAB"/>
    <w:rsid w:val="6354577D"/>
    <w:rsid w:val="63923487"/>
    <w:rsid w:val="63AA6724"/>
    <w:rsid w:val="63CE6464"/>
    <w:rsid w:val="63F11E7B"/>
    <w:rsid w:val="63FD1FC8"/>
    <w:rsid w:val="640A0871"/>
    <w:rsid w:val="640D639C"/>
    <w:rsid w:val="64102641"/>
    <w:rsid w:val="64137D63"/>
    <w:rsid w:val="64CD5A23"/>
    <w:rsid w:val="64F7555D"/>
    <w:rsid w:val="6505054C"/>
    <w:rsid w:val="652617CE"/>
    <w:rsid w:val="656B62C3"/>
    <w:rsid w:val="6575087E"/>
    <w:rsid w:val="6595193F"/>
    <w:rsid w:val="659E521E"/>
    <w:rsid w:val="65B67576"/>
    <w:rsid w:val="65CB6D62"/>
    <w:rsid w:val="65E407B4"/>
    <w:rsid w:val="65EF348C"/>
    <w:rsid w:val="660D37BF"/>
    <w:rsid w:val="66157C8D"/>
    <w:rsid w:val="662F72F1"/>
    <w:rsid w:val="66392F55"/>
    <w:rsid w:val="664677E1"/>
    <w:rsid w:val="66505952"/>
    <w:rsid w:val="669A5E14"/>
    <w:rsid w:val="66DD5160"/>
    <w:rsid w:val="67290ADE"/>
    <w:rsid w:val="67D824D0"/>
    <w:rsid w:val="67F02246"/>
    <w:rsid w:val="68070F8A"/>
    <w:rsid w:val="682335E9"/>
    <w:rsid w:val="68615442"/>
    <w:rsid w:val="68A439AC"/>
    <w:rsid w:val="68E342C5"/>
    <w:rsid w:val="68F14CA6"/>
    <w:rsid w:val="690D7149"/>
    <w:rsid w:val="69123D6B"/>
    <w:rsid w:val="69242DAF"/>
    <w:rsid w:val="6941009D"/>
    <w:rsid w:val="69761A91"/>
    <w:rsid w:val="697853EA"/>
    <w:rsid w:val="697C0BD4"/>
    <w:rsid w:val="698767DA"/>
    <w:rsid w:val="69A23FB2"/>
    <w:rsid w:val="69CA34BB"/>
    <w:rsid w:val="69CA7D34"/>
    <w:rsid w:val="69F843E4"/>
    <w:rsid w:val="6A4470E3"/>
    <w:rsid w:val="6A5E4BDF"/>
    <w:rsid w:val="6A5E52AD"/>
    <w:rsid w:val="6A6C202E"/>
    <w:rsid w:val="6A733372"/>
    <w:rsid w:val="6A845EA8"/>
    <w:rsid w:val="6A8B2E8E"/>
    <w:rsid w:val="6AA445FF"/>
    <w:rsid w:val="6AB60C9E"/>
    <w:rsid w:val="6AB9325C"/>
    <w:rsid w:val="6B1816A5"/>
    <w:rsid w:val="6B3822A2"/>
    <w:rsid w:val="6B441F17"/>
    <w:rsid w:val="6B4E2FB0"/>
    <w:rsid w:val="6B724220"/>
    <w:rsid w:val="6B897616"/>
    <w:rsid w:val="6BA03F2D"/>
    <w:rsid w:val="6BAD7F4C"/>
    <w:rsid w:val="6BAE0CB8"/>
    <w:rsid w:val="6BBB187C"/>
    <w:rsid w:val="6BC61B6D"/>
    <w:rsid w:val="6BDD5D9A"/>
    <w:rsid w:val="6C155FAA"/>
    <w:rsid w:val="6C2A56B2"/>
    <w:rsid w:val="6C2D2DB0"/>
    <w:rsid w:val="6C352E69"/>
    <w:rsid w:val="6C5A3E43"/>
    <w:rsid w:val="6C5C00A2"/>
    <w:rsid w:val="6C616EE3"/>
    <w:rsid w:val="6C851924"/>
    <w:rsid w:val="6CDC465A"/>
    <w:rsid w:val="6CE801F9"/>
    <w:rsid w:val="6D15258D"/>
    <w:rsid w:val="6D2668CA"/>
    <w:rsid w:val="6D417909"/>
    <w:rsid w:val="6D4F4987"/>
    <w:rsid w:val="6D564048"/>
    <w:rsid w:val="6D5A5B5D"/>
    <w:rsid w:val="6DA53A4E"/>
    <w:rsid w:val="6DB6077B"/>
    <w:rsid w:val="6DD82F15"/>
    <w:rsid w:val="6DF70F29"/>
    <w:rsid w:val="6DFC1329"/>
    <w:rsid w:val="6E051FBD"/>
    <w:rsid w:val="6E1119CF"/>
    <w:rsid w:val="6E16344C"/>
    <w:rsid w:val="6E1B21B3"/>
    <w:rsid w:val="6E3C0867"/>
    <w:rsid w:val="6E6A5765"/>
    <w:rsid w:val="6E6E5734"/>
    <w:rsid w:val="6E7000DE"/>
    <w:rsid w:val="6E76287B"/>
    <w:rsid w:val="6E8568E0"/>
    <w:rsid w:val="6ED9514F"/>
    <w:rsid w:val="6EFC76E5"/>
    <w:rsid w:val="6F046AFC"/>
    <w:rsid w:val="6F2B0167"/>
    <w:rsid w:val="6F875EC6"/>
    <w:rsid w:val="6F97675B"/>
    <w:rsid w:val="6FB83B11"/>
    <w:rsid w:val="6FCA4268"/>
    <w:rsid w:val="6FDE7692"/>
    <w:rsid w:val="6FEE2E88"/>
    <w:rsid w:val="7023779A"/>
    <w:rsid w:val="70242E30"/>
    <w:rsid w:val="703E6319"/>
    <w:rsid w:val="70A76D36"/>
    <w:rsid w:val="70AE315A"/>
    <w:rsid w:val="70BB6FF0"/>
    <w:rsid w:val="70BF3967"/>
    <w:rsid w:val="70CE7EAE"/>
    <w:rsid w:val="71170BDC"/>
    <w:rsid w:val="7121261B"/>
    <w:rsid w:val="7131529D"/>
    <w:rsid w:val="71396006"/>
    <w:rsid w:val="714C31DA"/>
    <w:rsid w:val="714E07FD"/>
    <w:rsid w:val="717978B6"/>
    <w:rsid w:val="7183360B"/>
    <w:rsid w:val="718461E3"/>
    <w:rsid w:val="71857703"/>
    <w:rsid w:val="71861620"/>
    <w:rsid w:val="7197470F"/>
    <w:rsid w:val="71D626EB"/>
    <w:rsid w:val="71E85634"/>
    <w:rsid w:val="71F12202"/>
    <w:rsid w:val="722750B3"/>
    <w:rsid w:val="72707416"/>
    <w:rsid w:val="72D83074"/>
    <w:rsid w:val="72FC3A7C"/>
    <w:rsid w:val="72FC3B63"/>
    <w:rsid w:val="73377C07"/>
    <w:rsid w:val="735136A7"/>
    <w:rsid w:val="73854FA6"/>
    <w:rsid w:val="73B5634F"/>
    <w:rsid w:val="73D018DA"/>
    <w:rsid w:val="73E16A9B"/>
    <w:rsid w:val="73F5599D"/>
    <w:rsid w:val="74250D94"/>
    <w:rsid w:val="74350A58"/>
    <w:rsid w:val="746F7F6C"/>
    <w:rsid w:val="74722C26"/>
    <w:rsid w:val="74785240"/>
    <w:rsid w:val="74812428"/>
    <w:rsid w:val="74833D95"/>
    <w:rsid w:val="74CE02DB"/>
    <w:rsid w:val="7512001E"/>
    <w:rsid w:val="75142586"/>
    <w:rsid w:val="753A60E4"/>
    <w:rsid w:val="754F4EF8"/>
    <w:rsid w:val="757406E4"/>
    <w:rsid w:val="757C5983"/>
    <w:rsid w:val="759A7B08"/>
    <w:rsid w:val="75A24668"/>
    <w:rsid w:val="75D859DA"/>
    <w:rsid w:val="75EF25F8"/>
    <w:rsid w:val="75F776FF"/>
    <w:rsid w:val="75FD1C04"/>
    <w:rsid w:val="76217FDF"/>
    <w:rsid w:val="762A1C66"/>
    <w:rsid w:val="76393F48"/>
    <w:rsid w:val="763E32F0"/>
    <w:rsid w:val="765B33CC"/>
    <w:rsid w:val="76CD641A"/>
    <w:rsid w:val="76E77774"/>
    <w:rsid w:val="773B361B"/>
    <w:rsid w:val="77545D08"/>
    <w:rsid w:val="77550B81"/>
    <w:rsid w:val="7793143E"/>
    <w:rsid w:val="789C24E8"/>
    <w:rsid w:val="78A56427"/>
    <w:rsid w:val="78C625F7"/>
    <w:rsid w:val="78D36B54"/>
    <w:rsid w:val="79432B07"/>
    <w:rsid w:val="799C3BA7"/>
    <w:rsid w:val="799F7B0C"/>
    <w:rsid w:val="79B66184"/>
    <w:rsid w:val="79C0486D"/>
    <w:rsid w:val="79E944D9"/>
    <w:rsid w:val="79EB0B95"/>
    <w:rsid w:val="7A0B736C"/>
    <w:rsid w:val="7A0D188B"/>
    <w:rsid w:val="7A316336"/>
    <w:rsid w:val="7A340F22"/>
    <w:rsid w:val="7A6F6618"/>
    <w:rsid w:val="7A8F76F7"/>
    <w:rsid w:val="7AA4697C"/>
    <w:rsid w:val="7ABE4194"/>
    <w:rsid w:val="7AC40721"/>
    <w:rsid w:val="7AFD096D"/>
    <w:rsid w:val="7BC748E9"/>
    <w:rsid w:val="7BEA305B"/>
    <w:rsid w:val="7C0015C1"/>
    <w:rsid w:val="7C246AA9"/>
    <w:rsid w:val="7C3B3AF2"/>
    <w:rsid w:val="7C57190A"/>
    <w:rsid w:val="7C6119A0"/>
    <w:rsid w:val="7C63790A"/>
    <w:rsid w:val="7C71694F"/>
    <w:rsid w:val="7CA37CF5"/>
    <w:rsid w:val="7CF5103C"/>
    <w:rsid w:val="7CFE6F69"/>
    <w:rsid w:val="7D172435"/>
    <w:rsid w:val="7D1E64C2"/>
    <w:rsid w:val="7D38324E"/>
    <w:rsid w:val="7D5E29A2"/>
    <w:rsid w:val="7D870BF0"/>
    <w:rsid w:val="7D881F64"/>
    <w:rsid w:val="7D883940"/>
    <w:rsid w:val="7DAA2CE3"/>
    <w:rsid w:val="7DE5633A"/>
    <w:rsid w:val="7DF03563"/>
    <w:rsid w:val="7DF90DCF"/>
    <w:rsid w:val="7E675841"/>
    <w:rsid w:val="7E7145A4"/>
    <w:rsid w:val="7E98034C"/>
    <w:rsid w:val="7EF80B2A"/>
    <w:rsid w:val="7F1006DD"/>
    <w:rsid w:val="7F15485F"/>
    <w:rsid w:val="7F2D57F1"/>
    <w:rsid w:val="7F473ADC"/>
    <w:rsid w:val="7F4A4D43"/>
    <w:rsid w:val="7F4E520B"/>
    <w:rsid w:val="7F7B3566"/>
    <w:rsid w:val="7F9A0566"/>
    <w:rsid w:val="7FD563B6"/>
    <w:rsid w:val="7FE85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qFormat="1" w:uiPriority="0" w:semiHidden="0" w:name="toc 9"/>
    <w:lsdException w:qFormat="1" w:uiPriority="99"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6"/>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spacing w:before="120" w:after="120"/>
      <w:outlineLvl w:val="3"/>
    </w:pPr>
    <w:rPr>
      <w:rFonts w:ascii="Arial" w:hAnsi="Arial" w:eastAsia="黑体"/>
      <w:b/>
      <w:sz w:val="20"/>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unhideWhenUsed/>
    <w:qFormat/>
    <w:uiPriority w:val="99"/>
    <w:pPr>
      <w:ind w:firstLine="420" w:firstLineChars="200"/>
    </w:pPr>
  </w:style>
  <w:style w:type="paragraph" w:styleId="7">
    <w:name w:val="Body Text Indent"/>
    <w:basedOn w:val="1"/>
    <w:link w:val="55"/>
    <w:unhideWhenUsed/>
    <w:qFormat/>
    <w:uiPriority w:val="0"/>
    <w:pPr>
      <w:autoSpaceDE w:val="0"/>
      <w:autoSpaceDN w:val="0"/>
      <w:adjustRightInd w:val="0"/>
      <w:spacing w:line="360" w:lineRule="auto"/>
      <w:ind w:firstLine="723" w:firstLineChars="300"/>
    </w:pPr>
    <w:rPr>
      <w:rFonts w:ascii="宋体" w:hAnsi="宋体" w:cs="宋体"/>
      <w:b/>
      <w:bCs/>
      <w:sz w:val="24"/>
      <w:lang w:val="zh-CN"/>
    </w:rPr>
  </w:style>
  <w:style w:type="paragraph" w:styleId="8">
    <w:name w:val="annotation text"/>
    <w:basedOn w:val="1"/>
    <w:link w:val="56"/>
    <w:unhideWhenUsed/>
    <w:qFormat/>
    <w:uiPriority w:val="0"/>
    <w:pPr>
      <w:jc w:val="left"/>
    </w:pPr>
    <w:rPr>
      <w:rFonts w:ascii="Calibri" w:hAnsi="Calibri" w:cstheme="minorBidi"/>
      <w:szCs w:val="22"/>
    </w:rPr>
  </w:style>
  <w:style w:type="paragraph" w:styleId="9">
    <w:name w:val="Body Text"/>
    <w:basedOn w:val="1"/>
    <w:next w:val="1"/>
    <w:link w:val="61"/>
    <w:qFormat/>
    <w:uiPriority w:val="0"/>
    <w:rPr>
      <w:rFonts w:ascii="金山简黑体" w:hAnsi="Courier New" w:eastAsia="金山简黑体"/>
      <w:b/>
      <w:spacing w:val="-8"/>
      <w:sz w:val="44"/>
      <w:szCs w:val="20"/>
    </w:rPr>
  </w:style>
  <w:style w:type="paragraph" w:styleId="10">
    <w:name w:val="List 2"/>
    <w:basedOn w:val="1"/>
    <w:qFormat/>
    <w:uiPriority w:val="0"/>
    <w:pPr>
      <w:ind w:left="100" w:leftChars="200" w:hanging="200" w:hangingChars="200"/>
    </w:pPr>
  </w:style>
  <w:style w:type="paragraph" w:styleId="11">
    <w:name w:val="Block Text"/>
    <w:basedOn w:val="1"/>
    <w:next w:val="1"/>
    <w:qFormat/>
    <w:uiPriority w:val="0"/>
    <w:pPr>
      <w:autoSpaceDE w:val="0"/>
      <w:autoSpaceDN w:val="0"/>
      <w:adjustRightInd w:val="0"/>
      <w:ind w:left="256" w:right="6" w:firstLine="624" w:firstLineChars="200"/>
    </w:pPr>
    <w:rPr>
      <w:rFonts w:eastAsia="仿宋_GB2312"/>
      <w:kern w:val="0"/>
      <w:sz w:val="28"/>
      <w:szCs w:val="20"/>
    </w:rPr>
  </w:style>
  <w:style w:type="paragraph" w:styleId="12">
    <w:name w:val="index 4"/>
    <w:basedOn w:val="1"/>
    <w:next w:val="1"/>
    <w:qFormat/>
    <w:uiPriority w:val="99"/>
    <w:pPr>
      <w:ind w:left="600"/>
    </w:pPr>
    <w:rPr>
      <w:sz w:val="24"/>
    </w:rPr>
  </w:style>
  <w:style w:type="paragraph" w:styleId="13">
    <w:name w:val="Plain Text"/>
    <w:basedOn w:val="1"/>
    <w:link w:val="54"/>
    <w:qFormat/>
    <w:uiPriority w:val="0"/>
    <w:rPr>
      <w:rFonts w:ascii="宋体" w:hAnsi="Courier New" w:cs="Courier New"/>
      <w:szCs w:val="21"/>
    </w:rPr>
  </w:style>
  <w:style w:type="paragraph" w:styleId="14">
    <w:name w:val="Body Text Indent 2"/>
    <w:basedOn w:val="1"/>
    <w:semiHidden/>
    <w:unhideWhenUsed/>
    <w:qFormat/>
    <w:uiPriority w:val="99"/>
    <w:pPr>
      <w:spacing w:after="120" w:line="480" w:lineRule="auto"/>
      <w:ind w:left="420" w:leftChars="200"/>
    </w:pPr>
  </w:style>
  <w:style w:type="paragraph" w:styleId="15">
    <w:name w:val="footer"/>
    <w:basedOn w:val="1"/>
    <w:link w:val="57"/>
    <w:qFormat/>
    <w:uiPriority w:val="0"/>
    <w:pPr>
      <w:tabs>
        <w:tab w:val="center" w:pos="4153"/>
        <w:tab w:val="right" w:pos="8306"/>
      </w:tabs>
      <w:snapToGrid w:val="0"/>
      <w:jc w:val="left"/>
    </w:pPr>
    <w:rPr>
      <w:rFonts w:ascii="Calibri" w:hAnsi="Calibri" w:cstheme="minorBidi"/>
      <w:sz w:val="18"/>
      <w:szCs w:val="18"/>
    </w:rPr>
  </w:style>
  <w:style w:type="paragraph" w:styleId="16">
    <w:name w:val="envelope return"/>
    <w:basedOn w:val="1"/>
    <w:unhideWhenUsed/>
    <w:qFormat/>
    <w:uiPriority w:val="99"/>
    <w:pPr>
      <w:snapToGrid w:val="0"/>
    </w:pPr>
    <w:rPr>
      <w:rFonts w:ascii="Arial" w:hAnsi="Arial"/>
    </w:rPr>
  </w:style>
  <w:style w:type="paragraph" w:styleId="17">
    <w:name w:val="header"/>
    <w:basedOn w:val="1"/>
    <w:link w:val="53"/>
    <w:qFormat/>
    <w:uiPriority w:val="0"/>
    <w:pPr>
      <w:tabs>
        <w:tab w:val="center" w:pos="4153"/>
        <w:tab w:val="right" w:pos="8306"/>
      </w:tabs>
      <w:snapToGrid w:val="0"/>
      <w:jc w:val="center"/>
    </w:pPr>
    <w:rPr>
      <w:rFonts w:ascii="Calibri" w:hAnsi="Calibri" w:cstheme="minorBidi"/>
      <w:sz w:val="18"/>
      <w:szCs w:val="18"/>
    </w:rPr>
  </w:style>
  <w:style w:type="paragraph" w:styleId="18">
    <w:name w:val="toc 1"/>
    <w:basedOn w:val="1"/>
    <w:next w:val="1"/>
    <w:semiHidden/>
    <w:qFormat/>
    <w:uiPriority w:val="0"/>
  </w:style>
  <w:style w:type="paragraph" w:styleId="19">
    <w:name w:val="toc 2"/>
    <w:basedOn w:val="1"/>
    <w:next w:val="1"/>
    <w:qFormat/>
    <w:uiPriority w:val="0"/>
    <w:pPr>
      <w:ind w:left="240"/>
    </w:pPr>
    <w:rPr>
      <w:rFonts w:ascii="等线" w:eastAsia="等线"/>
      <w:smallCaps/>
    </w:rPr>
  </w:style>
  <w:style w:type="paragraph" w:styleId="20">
    <w:name w:val="toc 9"/>
    <w:basedOn w:val="1"/>
    <w:next w:val="1"/>
    <w:unhideWhenUsed/>
    <w:qFormat/>
    <w:uiPriority w:val="0"/>
    <w:pPr>
      <w:ind w:left="3360" w:leftChars="1600"/>
    </w:pPr>
    <w:rPr>
      <w:rFonts w:ascii="Calibri" w:hAnsi="Calibri"/>
    </w:rPr>
  </w:style>
  <w:style w:type="paragraph" w:styleId="21">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22">
    <w:name w:val="Body Text First Indent 2"/>
    <w:basedOn w:val="7"/>
    <w:qFormat/>
    <w:uiPriority w:val="0"/>
    <w:pPr>
      <w:ind w:firstLine="420"/>
    </w:pPr>
    <w:rPr>
      <w:szCs w:val="20"/>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style>
  <w:style w:type="character" w:styleId="27">
    <w:name w:val="page number"/>
    <w:basedOn w:val="25"/>
    <w:qFormat/>
    <w:uiPriority w:val="0"/>
  </w:style>
  <w:style w:type="character" w:styleId="28">
    <w:name w:val="FollowedHyperlink"/>
    <w:qFormat/>
    <w:uiPriority w:val="0"/>
    <w:rPr>
      <w:color w:val="044AC4"/>
      <w:u w:val="none"/>
    </w:rPr>
  </w:style>
  <w:style w:type="character" w:styleId="29">
    <w:name w:val="Emphasis"/>
    <w:qFormat/>
    <w:uiPriority w:val="0"/>
  </w:style>
  <w:style w:type="character" w:styleId="30">
    <w:name w:val="HTML Definition"/>
    <w:qFormat/>
    <w:uiPriority w:val="0"/>
  </w:style>
  <w:style w:type="character" w:styleId="31">
    <w:name w:val="HTML Acronym"/>
    <w:basedOn w:val="25"/>
    <w:qFormat/>
    <w:uiPriority w:val="0"/>
  </w:style>
  <w:style w:type="character" w:styleId="32">
    <w:name w:val="HTML Variable"/>
    <w:qFormat/>
    <w:uiPriority w:val="0"/>
  </w:style>
  <w:style w:type="character" w:styleId="33">
    <w:name w:val="Hyperlink"/>
    <w:qFormat/>
    <w:uiPriority w:val="0"/>
    <w:rPr>
      <w:color w:val="044AC4"/>
      <w:u w:val="none"/>
    </w:rPr>
  </w:style>
  <w:style w:type="character" w:styleId="34">
    <w:name w:val="HTML Code"/>
    <w:qFormat/>
    <w:uiPriority w:val="0"/>
    <w:rPr>
      <w:rFonts w:ascii="Courier New" w:hAnsi="Courier New"/>
      <w:sz w:val="20"/>
    </w:rPr>
  </w:style>
  <w:style w:type="character" w:styleId="35">
    <w:name w:val="HTML Cite"/>
    <w:qFormat/>
    <w:uiPriority w:val="0"/>
    <w:rPr>
      <w:shd w:val="clear" w:color="auto" w:fill="D0E5F5"/>
    </w:rPr>
  </w:style>
  <w:style w:type="character" w:customStyle="1" w:styleId="36">
    <w:name w:val="标题 1 字符"/>
    <w:basedOn w:val="25"/>
    <w:link w:val="2"/>
    <w:qFormat/>
    <w:uiPriority w:val="0"/>
    <w:rPr>
      <w:rFonts w:ascii="Times New Roman" w:hAnsi="Times New Roman" w:eastAsia="宋体" w:cs="Times New Roman"/>
      <w:b/>
      <w:bCs/>
      <w:kern w:val="44"/>
      <w:sz w:val="44"/>
      <w:szCs w:val="44"/>
    </w:rPr>
  </w:style>
  <w:style w:type="character" w:customStyle="1" w:styleId="37">
    <w:name w:val="l-btn-left3"/>
    <w:basedOn w:val="25"/>
    <w:qFormat/>
    <w:uiPriority w:val="0"/>
  </w:style>
  <w:style w:type="character" w:customStyle="1" w:styleId="38">
    <w:name w:val="l-btn-left2"/>
    <w:basedOn w:val="25"/>
    <w:qFormat/>
    <w:uiPriority w:val="0"/>
  </w:style>
  <w:style w:type="character" w:customStyle="1" w:styleId="39">
    <w:name w:val="页眉 Char"/>
    <w:qFormat/>
    <w:locked/>
    <w:uiPriority w:val="0"/>
    <w:rPr>
      <w:rFonts w:ascii="Calibri" w:hAnsi="Calibri" w:eastAsia="宋体"/>
      <w:sz w:val="18"/>
      <w:szCs w:val="18"/>
    </w:rPr>
  </w:style>
  <w:style w:type="character" w:customStyle="1" w:styleId="40">
    <w:name w:val="正文文本缩进 Char"/>
    <w:qFormat/>
    <w:uiPriority w:val="0"/>
    <w:rPr>
      <w:rFonts w:ascii="宋体" w:hAnsi="宋体" w:eastAsia="宋体" w:cs="宋体"/>
      <w:b/>
      <w:bCs/>
      <w:sz w:val="24"/>
      <w:szCs w:val="24"/>
      <w:lang w:val="zh-CN"/>
    </w:rPr>
  </w:style>
  <w:style w:type="character" w:customStyle="1" w:styleId="41">
    <w:name w:val="Char Char2"/>
    <w:qFormat/>
    <w:locked/>
    <w:uiPriority w:val="0"/>
    <w:rPr>
      <w:rFonts w:ascii="宋体" w:hAnsi="Courier New" w:eastAsia="仿宋_GB2312"/>
      <w:kern w:val="2"/>
      <w:sz w:val="30"/>
      <w:lang w:bidi="ar-SA"/>
    </w:rPr>
  </w:style>
  <w:style w:type="character" w:customStyle="1" w:styleId="42">
    <w:name w:val="Char Char6"/>
    <w:qFormat/>
    <w:uiPriority w:val="0"/>
    <w:rPr>
      <w:rFonts w:ascii="宋体" w:hAnsi="Courier New" w:eastAsia="宋体" w:cs="Courier New"/>
      <w:kern w:val="2"/>
      <w:sz w:val="21"/>
      <w:szCs w:val="21"/>
      <w:lang w:val="en-US" w:eastAsia="zh-CN" w:bidi="ar-SA"/>
    </w:rPr>
  </w:style>
  <w:style w:type="character" w:customStyle="1" w:styleId="43">
    <w:name w:val="l-btn-left4"/>
    <w:basedOn w:val="25"/>
    <w:qFormat/>
    <w:uiPriority w:val="0"/>
  </w:style>
  <w:style w:type="character" w:customStyle="1" w:styleId="44">
    <w:name w:val="style41"/>
    <w:qFormat/>
    <w:uiPriority w:val="0"/>
    <w:rPr>
      <w:rFonts w:cs="Times New Roman"/>
      <w:sz w:val="21"/>
      <w:szCs w:val="21"/>
    </w:rPr>
  </w:style>
  <w:style w:type="character" w:customStyle="1" w:styleId="45">
    <w:name w:val="info"/>
    <w:qFormat/>
    <w:uiPriority w:val="0"/>
    <w:rPr>
      <w:color w:val="776955"/>
    </w:rPr>
  </w:style>
  <w:style w:type="character" w:customStyle="1" w:styleId="46">
    <w:name w:val="普通文字 Char Char1"/>
    <w:qFormat/>
    <w:locked/>
    <w:uiPriority w:val="0"/>
    <w:rPr>
      <w:rFonts w:ascii="宋体" w:hAnsi="Courier New" w:eastAsia="宋体" w:cs="Courier New"/>
      <w:kern w:val="2"/>
      <w:sz w:val="21"/>
      <w:szCs w:val="21"/>
      <w:lang w:val="en-US" w:eastAsia="zh-CN" w:bidi="ar-SA"/>
    </w:rPr>
  </w:style>
  <w:style w:type="character" w:customStyle="1" w:styleId="47">
    <w:name w:val="l-btn-left5"/>
    <w:basedOn w:val="25"/>
    <w:qFormat/>
    <w:uiPriority w:val="0"/>
  </w:style>
  <w:style w:type="character" w:customStyle="1" w:styleId="48">
    <w:name w:val="纯文本 Char"/>
    <w:qFormat/>
    <w:locked/>
    <w:uiPriority w:val="0"/>
    <w:rPr>
      <w:rFonts w:ascii="宋体" w:hAnsi="Courier New" w:eastAsia="宋体" w:cs="Courier New"/>
      <w:szCs w:val="21"/>
    </w:rPr>
  </w:style>
  <w:style w:type="character" w:customStyle="1" w:styleId="49">
    <w:name w:val="l-btn-text"/>
    <w:basedOn w:val="25"/>
    <w:qFormat/>
    <w:uiPriority w:val="0"/>
  </w:style>
  <w:style w:type="character" w:customStyle="1" w:styleId="50">
    <w:name w:val="批注文字 Char"/>
    <w:qFormat/>
    <w:uiPriority w:val="0"/>
    <w:rPr>
      <w:rFonts w:ascii="Calibri" w:hAnsi="Calibri" w:eastAsia="宋体"/>
    </w:rPr>
  </w:style>
  <w:style w:type="character" w:customStyle="1" w:styleId="51">
    <w:name w:val="l-btn-empty"/>
    <w:basedOn w:val="25"/>
    <w:qFormat/>
    <w:uiPriority w:val="0"/>
  </w:style>
  <w:style w:type="character" w:customStyle="1" w:styleId="52">
    <w:name w:val="页脚 Char"/>
    <w:qFormat/>
    <w:uiPriority w:val="0"/>
    <w:rPr>
      <w:rFonts w:ascii="Calibri" w:hAnsi="Calibri" w:eastAsia="宋体"/>
      <w:sz w:val="18"/>
      <w:szCs w:val="18"/>
    </w:rPr>
  </w:style>
  <w:style w:type="character" w:customStyle="1" w:styleId="53">
    <w:name w:val="页眉 字符"/>
    <w:basedOn w:val="25"/>
    <w:link w:val="17"/>
    <w:semiHidden/>
    <w:qFormat/>
    <w:uiPriority w:val="99"/>
    <w:rPr>
      <w:rFonts w:ascii="Times New Roman" w:hAnsi="Times New Roman" w:eastAsia="宋体" w:cs="Times New Roman"/>
      <w:sz w:val="18"/>
      <w:szCs w:val="18"/>
    </w:rPr>
  </w:style>
  <w:style w:type="character" w:customStyle="1" w:styleId="54">
    <w:name w:val="纯文本 字符"/>
    <w:basedOn w:val="25"/>
    <w:link w:val="13"/>
    <w:semiHidden/>
    <w:qFormat/>
    <w:uiPriority w:val="99"/>
    <w:rPr>
      <w:rFonts w:ascii="宋体" w:hAnsi="Courier New" w:eastAsia="宋体" w:cs="Courier New"/>
      <w:szCs w:val="21"/>
    </w:rPr>
  </w:style>
  <w:style w:type="character" w:customStyle="1" w:styleId="55">
    <w:name w:val="正文文本缩进 字符"/>
    <w:basedOn w:val="25"/>
    <w:link w:val="7"/>
    <w:semiHidden/>
    <w:qFormat/>
    <w:uiPriority w:val="99"/>
    <w:rPr>
      <w:rFonts w:ascii="Times New Roman" w:hAnsi="Times New Roman" w:eastAsia="宋体" w:cs="Times New Roman"/>
      <w:szCs w:val="24"/>
    </w:rPr>
  </w:style>
  <w:style w:type="character" w:customStyle="1" w:styleId="56">
    <w:name w:val="批注文字 字符"/>
    <w:basedOn w:val="25"/>
    <w:link w:val="8"/>
    <w:semiHidden/>
    <w:qFormat/>
    <w:uiPriority w:val="99"/>
    <w:rPr>
      <w:rFonts w:ascii="Times New Roman" w:hAnsi="Times New Roman" w:eastAsia="宋体" w:cs="Times New Roman"/>
      <w:szCs w:val="24"/>
    </w:rPr>
  </w:style>
  <w:style w:type="character" w:customStyle="1" w:styleId="57">
    <w:name w:val="页脚 字符"/>
    <w:basedOn w:val="25"/>
    <w:link w:val="15"/>
    <w:semiHidden/>
    <w:qFormat/>
    <w:uiPriority w:val="99"/>
    <w:rPr>
      <w:rFonts w:ascii="Times New Roman" w:hAnsi="Times New Roman" w:eastAsia="宋体" w:cs="Times New Roman"/>
      <w:sz w:val="18"/>
      <w:szCs w:val="18"/>
    </w:rPr>
  </w:style>
  <w:style w:type="paragraph" w:customStyle="1" w:styleId="58">
    <w:name w:val="列表段落"/>
    <w:basedOn w:val="1"/>
    <w:qFormat/>
    <w:uiPriority w:val="0"/>
    <w:pPr>
      <w:ind w:firstLine="420" w:firstLineChars="200"/>
    </w:pPr>
    <w:rPr>
      <w:rFonts w:ascii="Calibri" w:hAnsi="Calibri"/>
      <w:szCs w:val="22"/>
    </w:rPr>
  </w:style>
  <w:style w:type="paragraph" w:customStyle="1" w:styleId="59">
    <w:name w:val="trs_editor"/>
    <w:basedOn w:val="1"/>
    <w:qFormat/>
    <w:uiPriority w:val="0"/>
    <w:pPr>
      <w:widowControl/>
      <w:spacing w:before="100" w:beforeAutospacing="1" w:after="100" w:afterAutospacing="1"/>
      <w:jc w:val="left"/>
    </w:pPr>
    <w:rPr>
      <w:rFonts w:ascii="宋体" w:hAnsi="宋体" w:cs="宋体"/>
      <w:kern w:val="0"/>
      <w:sz w:val="24"/>
    </w:rPr>
  </w:style>
  <w:style w:type="paragraph" w:styleId="60">
    <w:name w:val="List Paragraph"/>
    <w:basedOn w:val="1"/>
    <w:qFormat/>
    <w:uiPriority w:val="34"/>
    <w:pPr>
      <w:ind w:firstLine="420" w:firstLineChars="200"/>
    </w:pPr>
  </w:style>
  <w:style w:type="character" w:customStyle="1" w:styleId="61">
    <w:name w:val="正文文本 字符"/>
    <w:basedOn w:val="25"/>
    <w:link w:val="9"/>
    <w:qFormat/>
    <w:uiPriority w:val="0"/>
    <w:rPr>
      <w:rFonts w:ascii="金山简黑体" w:hAnsi="Courier New" w:eastAsia="金山简黑体" w:cs="Times New Roman"/>
      <w:b/>
      <w:spacing w:val="-8"/>
      <w:kern w:val="2"/>
      <w:sz w:val="44"/>
    </w:rPr>
  </w:style>
  <w:style w:type="paragraph" w:customStyle="1" w:styleId="62">
    <w:name w:val="Table Paragraph"/>
    <w:basedOn w:val="1"/>
    <w:qFormat/>
    <w:uiPriority w:val="1"/>
    <w:rPr>
      <w:rFonts w:ascii="宋体" w:hAnsi="宋体" w:cs="宋体"/>
      <w:szCs w:val="22"/>
      <w:lang w:val="ja-JP" w:eastAsia="ja-JP" w:bidi="ja-JP"/>
    </w:rPr>
  </w:style>
  <w:style w:type="paragraph" w:customStyle="1" w:styleId="63">
    <w:name w:val="WPSOffice手动目录 1"/>
    <w:qFormat/>
    <w:uiPriority w:val="0"/>
    <w:rPr>
      <w:rFonts w:ascii="Times New Roman" w:hAnsi="Times New Roman" w:eastAsia="宋体" w:cs="Times New Roman"/>
      <w:lang w:val="en-US" w:eastAsia="zh-CN" w:bidi="ar-SA"/>
    </w:rPr>
  </w:style>
  <w:style w:type="paragraph" w:customStyle="1" w:styleId="64">
    <w:name w:val="BodyText"/>
    <w:basedOn w:val="1"/>
    <w:next w:val="1"/>
    <w:qFormat/>
    <w:uiPriority w:val="0"/>
    <w:pPr>
      <w:spacing w:after="60" w:line="360" w:lineRule="atLeast"/>
      <w:ind w:left="72" w:leftChars="30" w:right="30" w:rightChars="30"/>
      <w:jc w:val="center"/>
      <w:textAlignment w:val="baseline"/>
    </w:pPr>
    <w:rPr>
      <w:szCs w:val="22"/>
    </w:rPr>
  </w:style>
  <w:style w:type="paragraph" w:customStyle="1" w:styleId="65">
    <w:name w:val="样式 首行缩进:  2 字符"/>
    <w:basedOn w:val="1"/>
    <w:qFormat/>
    <w:uiPriority w:val="0"/>
    <w:pPr>
      <w:spacing w:line="400" w:lineRule="exact"/>
      <w:ind w:firstLine="200" w:firstLineChars="200"/>
    </w:pPr>
    <w:rPr>
      <w:rFonts w:ascii="Calibri" w:hAnsi="Calibri" w:cs="宋体"/>
      <w:sz w:val="24"/>
    </w:rPr>
  </w:style>
  <w:style w:type="character" w:customStyle="1" w:styleId="66">
    <w:name w:val="标题 2 字符"/>
    <w:link w:val="3"/>
    <w:qFormat/>
    <w:uiPriority w:val="0"/>
    <w:rPr>
      <w:rFonts w:ascii="Arial" w:hAnsi="Arial" w:eastAsia="黑体"/>
      <w:b/>
      <w:bCs/>
      <w:kern w:val="2"/>
      <w:sz w:val="32"/>
      <w:szCs w:val="32"/>
      <w:lang w:val="en-US" w:eastAsia="zh-CN" w:bidi="ar-SA"/>
    </w:rPr>
  </w:style>
  <w:style w:type="paragraph" w:customStyle="1" w:styleId="67">
    <w:name w:val="样式 正文文本缩进 + 首行缩进:  2 字符 行距: 1.5 倍行距"/>
    <w:basedOn w:val="7"/>
    <w:qFormat/>
    <w:uiPriority w:val="0"/>
    <w:pPr>
      <w:spacing w:before="156" w:after="120"/>
      <w:ind w:firstLine="645"/>
    </w:pPr>
    <w:rPr>
      <w:rFonts w:ascii="Calibri" w:hAnsi="Calibri"/>
      <w:kern w:val="0"/>
      <w:sz w:val="28"/>
    </w:rPr>
  </w:style>
  <w:style w:type="character" w:customStyle="1" w:styleId="68">
    <w:name w:val="NormalCharacter"/>
    <w:semiHidden/>
    <w:qFormat/>
    <w:uiPriority w:val="0"/>
    <w:rPr>
      <w:sz w:val="28"/>
      <w:lang w:val="en-US" w:eastAsia="zh-CN" w:bidi="ar-SA"/>
    </w:rPr>
  </w:style>
  <w:style w:type="paragraph" w:styleId="69">
    <w:name w:val="No Spacing"/>
    <w:qFormat/>
    <w:uiPriority w:val="1"/>
    <w:rPr>
      <w:rFonts w:ascii="宋体" w:hAnsi="宋体" w:eastAsia="宋体" w:cs="宋体"/>
      <w:sz w:val="24"/>
      <w:szCs w:val="24"/>
      <w:lang w:val="en-US" w:eastAsia="zh-CN" w:bidi="ar-SA"/>
    </w:rPr>
  </w:style>
  <w:style w:type="paragraph" w:customStyle="1" w:styleId="70">
    <w:name w:val="文本块1"/>
    <w:basedOn w:val="71"/>
    <w:qFormat/>
    <w:uiPriority w:val="0"/>
    <w:pPr>
      <w:spacing w:after="120"/>
      <w:ind w:left="1440" w:right="1440"/>
    </w:pPr>
  </w:style>
  <w:style w:type="paragraph" w:customStyle="1" w:styleId="71">
    <w:name w:val="正文111"/>
    <w:next w:val="72"/>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72">
    <w:name w:val="正文首行缩进1"/>
    <w:basedOn w:val="73"/>
    <w:next w:val="84"/>
    <w:qFormat/>
    <w:uiPriority w:val="0"/>
    <w:pPr>
      <w:spacing w:line="360" w:lineRule="auto"/>
      <w:ind w:firstLine="200"/>
    </w:pPr>
    <w:rPr>
      <w:rFonts w:ascii="仿宋_GB2312" w:eastAsia="仿宋_GB2312"/>
      <w:sz w:val="30"/>
      <w:szCs w:val="30"/>
    </w:rPr>
  </w:style>
  <w:style w:type="paragraph" w:customStyle="1" w:styleId="73">
    <w:name w:val="正文文本11"/>
    <w:basedOn w:val="71"/>
    <w:next w:val="74"/>
    <w:qFormat/>
    <w:uiPriority w:val="0"/>
    <w:pPr>
      <w:spacing w:after="120"/>
    </w:pPr>
  </w:style>
  <w:style w:type="paragraph" w:customStyle="1" w:styleId="74">
    <w:name w:val="一级条标题"/>
    <w:basedOn w:val="75"/>
    <w:next w:val="83"/>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75">
    <w:name w:val="章标题"/>
    <w:basedOn w:val="1"/>
    <w:next w:val="76"/>
    <w:qFormat/>
    <w:uiPriority w:val="0"/>
    <w:pPr>
      <w:widowControl/>
      <w:spacing w:before="158" w:after="153" w:line="1292" w:lineRule="atLeast"/>
      <w:jc w:val="center"/>
    </w:pPr>
    <w:rPr>
      <w:rFonts w:ascii="Arial" w:hAnsi="Calibri" w:eastAsia="黑体" w:cs="黑体"/>
      <w:kern w:val="0"/>
      <w:sz w:val="31"/>
      <w:szCs w:val="22"/>
      <w:lang w:eastAsia="en-US" w:bidi="en-US"/>
    </w:rPr>
  </w:style>
  <w:style w:type="paragraph" w:customStyle="1" w:styleId="76">
    <w:name w:val="正文1"/>
    <w:basedOn w:val="77"/>
    <w:next w:val="82"/>
    <w:qFormat/>
    <w:uiPriority w:val="0"/>
    <w:pPr>
      <w:adjustRightInd w:val="0"/>
      <w:spacing w:line="312" w:lineRule="atLeast"/>
      <w:textAlignment w:val="baseline"/>
    </w:pPr>
    <w:rPr>
      <w:rFonts w:ascii="宋体" w:hAnsi="Calibri" w:cs="宋体"/>
      <w:sz w:val="34"/>
      <w:szCs w:val="34"/>
    </w:rPr>
  </w:style>
  <w:style w:type="paragraph" w:customStyle="1" w:styleId="77">
    <w:name w:val="正文11"/>
    <w:next w:val="78"/>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78">
    <w:name w:val="标题 21"/>
    <w:basedOn w:val="79"/>
    <w:next w:val="77"/>
    <w:qFormat/>
    <w:uiPriority w:val="0"/>
    <w:pPr>
      <w:keepNext/>
      <w:keepLines/>
      <w:tabs>
        <w:tab w:val="left" w:pos="720"/>
      </w:tabs>
      <w:spacing w:before="260" w:after="260" w:line="416" w:lineRule="auto"/>
      <w:jc w:val="center"/>
      <w:outlineLvl w:val="1"/>
    </w:pPr>
    <w:rPr>
      <w:rFonts w:ascii="Cambria" w:hAnsi="Cambria"/>
      <w:b/>
      <w:bCs/>
      <w:sz w:val="28"/>
      <w:szCs w:val="32"/>
    </w:rPr>
  </w:style>
  <w:style w:type="paragraph" w:customStyle="1" w:styleId="79">
    <w:name w:val="正文12"/>
    <w:next w:val="80"/>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0">
    <w:name w:val="脚注文本1"/>
    <w:basedOn w:val="71"/>
    <w:next w:val="81"/>
    <w:qFormat/>
    <w:uiPriority w:val="0"/>
    <w:pPr>
      <w:jc w:val="left"/>
    </w:pPr>
    <w:rPr>
      <w:rFonts w:ascii="宋体" w:eastAsia="Times New Roman"/>
      <w:sz w:val="18"/>
      <w:szCs w:val="18"/>
    </w:rPr>
  </w:style>
  <w:style w:type="paragraph" w:customStyle="1" w:styleId="81">
    <w:name w:val="索引 51"/>
    <w:basedOn w:val="76"/>
    <w:next w:val="76"/>
    <w:qFormat/>
    <w:uiPriority w:val="0"/>
    <w:pPr>
      <w:tabs>
        <w:tab w:val="left" w:pos="420"/>
      </w:tabs>
      <w:ind w:left="798"/>
      <w:jc w:val="left"/>
    </w:pPr>
    <w:rPr>
      <w:rFonts w:ascii="Calibri"/>
    </w:rPr>
  </w:style>
  <w:style w:type="paragraph" w:customStyle="1" w:styleId="82">
    <w:name w:val="正文文本1"/>
    <w:basedOn w:val="71"/>
    <w:next w:val="74"/>
    <w:qFormat/>
    <w:uiPriority w:val="0"/>
    <w:rPr>
      <w:rFonts w:ascii="楷体_GB2312" w:hAnsi="Arial" w:eastAsia="楷体_GB2312"/>
      <w:sz w:val="28"/>
      <w:szCs w:val="28"/>
      <w:lang w:eastAsia="en-US"/>
    </w:rPr>
  </w:style>
  <w:style w:type="paragraph" w:customStyle="1" w:styleId="83">
    <w:name w:val="段"/>
    <w:basedOn w:val="76"/>
    <w:next w:val="1"/>
    <w:qFormat/>
    <w:uiPriority w:val="0"/>
    <w:pPr>
      <w:widowControl/>
      <w:autoSpaceDE w:val="0"/>
      <w:autoSpaceDN w:val="0"/>
      <w:ind w:firstLine="200" w:firstLineChars="200"/>
    </w:pPr>
    <w:rPr>
      <w:rFonts w:hint="eastAsia"/>
    </w:rPr>
  </w:style>
  <w:style w:type="paragraph" w:customStyle="1" w:styleId="84">
    <w:name w:val="正文首行缩进 21"/>
    <w:basedOn w:val="85"/>
    <w:next w:val="71"/>
    <w:qFormat/>
    <w:uiPriority w:val="0"/>
    <w:pPr>
      <w:tabs>
        <w:tab w:val="left" w:pos="425"/>
        <w:tab w:val="left" w:pos="1260"/>
      </w:tabs>
      <w:ind w:left="200" w:leftChars="200" w:firstLine="420" w:firstLineChars="200"/>
    </w:pPr>
  </w:style>
  <w:style w:type="paragraph" w:customStyle="1" w:styleId="85">
    <w:name w:val="正文文本缩进1"/>
    <w:basedOn w:val="76"/>
    <w:qFormat/>
    <w:uiPriority w:val="0"/>
    <w:pPr>
      <w:spacing w:after="120"/>
      <w:ind w:left="420"/>
    </w:pPr>
    <w:rPr>
      <w:rFonts w:ascii="Calibri"/>
    </w:rPr>
  </w:style>
  <w:style w:type="paragraph" w:customStyle="1" w:styleId="86">
    <w:name w:val="目录 111"/>
    <w:basedOn w:val="71"/>
    <w:next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CA8F57-237E-4993-B7B7-B8CCC5B4A050}">
  <ds:schemaRefs/>
</ds:datastoreItem>
</file>

<file path=docProps/app.xml><?xml version="1.0" encoding="utf-8"?>
<Properties xmlns="http://schemas.openxmlformats.org/officeDocument/2006/extended-properties" xmlns:vt="http://schemas.openxmlformats.org/officeDocument/2006/docPropsVTypes">
  <Template>Normal</Template>
  <Pages>66</Pages>
  <Words>14490</Words>
  <Characters>16327</Characters>
  <Lines>301</Lines>
  <Paragraphs>84</Paragraphs>
  <TotalTime>381</TotalTime>
  <ScaleCrop>false</ScaleCrop>
  <LinksUpToDate>false</LinksUpToDate>
  <CharactersWithSpaces>16513</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2019-03-08T07:21:00Z</dcterms:created>
  <dc:creator>bxc25</dc:creator>
  <cp:lastModifiedBy>微云淡月</cp:lastModifiedBy>
  <cp:lastPrinted>2021-11-02T09:48:00Z</cp:lastPrinted>
  <dcterms:modified xsi:type="dcterms:W3CDTF">2026-08-14T08:05:00Z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F1DC5C2C78A447309B744911622EF18D</vt:lpwstr>
  </property>
  <property fmtid="{D5CDD505-2E9C-101B-9397-08002B2CF9AE}" pid="4" name="KSOTemplateDocerSaveRecord">
    <vt:lpwstr>eyJoZGlkIjoiNDE1OGMyYTJjYjBkODk0OTQxODdiYzQzZjkxOTljMTUiLCJ1c2VySWQiOiI0NzY0MjEzMjkifQ==</vt:lpwstr>
  </property>
</Properties>
</file>